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81"/>
        <w:tblW w:w="0" w:type="auto"/>
        <w:tblLook w:val="04A0" w:firstRow="1" w:lastRow="0" w:firstColumn="1" w:lastColumn="0" w:noHBand="0" w:noVBand="1"/>
      </w:tblPr>
      <w:tblGrid>
        <w:gridCol w:w="1838"/>
        <w:gridCol w:w="4536"/>
        <w:gridCol w:w="2642"/>
      </w:tblGrid>
      <w:tr w:rsidR="00E04AC3" w:rsidRPr="001F667D" w:rsidTr="00BB3986">
        <w:tc>
          <w:tcPr>
            <w:tcW w:w="1838" w:type="dxa"/>
          </w:tcPr>
          <w:p w:rsidR="00E04AC3" w:rsidRPr="001F667D" w:rsidRDefault="00E04AC3" w:rsidP="00BB3986">
            <w:pPr>
              <w:rPr>
                <w:b/>
                <w:color w:val="3B3838" w:themeColor="background2" w:themeShade="40"/>
                <w:sz w:val="24"/>
                <w:szCs w:val="24"/>
              </w:rPr>
            </w:pPr>
            <w:r w:rsidRPr="001F667D">
              <w:rPr>
                <w:b/>
                <w:color w:val="3B3838" w:themeColor="background2" w:themeShade="40"/>
                <w:sz w:val="24"/>
                <w:szCs w:val="24"/>
              </w:rPr>
              <w:t>Author</w:t>
            </w:r>
          </w:p>
        </w:tc>
        <w:tc>
          <w:tcPr>
            <w:tcW w:w="7178" w:type="dxa"/>
            <w:gridSpan w:val="2"/>
          </w:tcPr>
          <w:p w:rsidR="00E04AC3" w:rsidRPr="001F667D" w:rsidRDefault="00BC2739" w:rsidP="00BB3986">
            <w:pPr>
              <w:rPr>
                <w:color w:val="3B3838" w:themeColor="background2" w:themeShade="40"/>
                <w:sz w:val="24"/>
                <w:szCs w:val="24"/>
              </w:rPr>
            </w:pPr>
            <w:r>
              <w:rPr>
                <w:color w:val="3B3838" w:themeColor="background2" w:themeShade="40"/>
                <w:sz w:val="24"/>
                <w:szCs w:val="24"/>
              </w:rPr>
              <w:t>Michael Rickner</w:t>
            </w:r>
          </w:p>
        </w:tc>
      </w:tr>
      <w:tr w:rsidR="00E04AC3" w:rsidRPr="001F667D" w:rsidTr="00BB3986">
        <w:tc>
          <w:tcPr>
            <w:tcW w:w="1838" w:type="dxa"/>
          </w:tcPr>
          <w:p w:rsidR="00E04AC3" w:rsidRPr="001F667D" w:rsidRDefault="00E04AC3" w:rsidP="00BB3986">
            <w:pPr>
              <w:rPr>
                <w:b/>
                <w:color w:val="3B3838" w:themeColor="background2" w:themeShade="40"/>
                <w:sz w:val="24"/>
                <w:szCs w:val="24"/>
              </w:rPr>
            </w:pPr>
            <w:r w:rsidRPr="001F667D">
              <w:rPr>
                <w:b/>
                <w:color w:val="3B3838" w:themeColor="background2" w:themeShade="40"/>
                <w:sz w:val="24"/>
                <w:szCs w:val="24"/>
              </w:rPr>
              <w:t>Date of Review</w:t>
            </w:r>
          </w:p>
        </w:tc>
        <w:tc>
          <w:tcPr>
            <w:tcW w:w="7178" w:type="dxa"/>
            <w:gridSpan w:val="2"/>
          </w:tcPr>
          <w:p w:rsidR="00E04AC3" w:rsidRPr="001F667D" w:rsidRDefault="009A5021" w:rsidP="00BB3986">
            <w:pPr>
              <w:rPr>
                <w:color w:val="3B3838" w:themeColor="background2" w:themeShade="40"/>
                <w:sz w:val="24"/>
                <w:szCs w:val="24"/>
              </w:rPr>
            </w:pPr>
            <w:r>
              <w:rPr>
                <w:color w:val="3B3838" w:themeColor="background2" w:themeShade="40"/>
                <w:sz w:val="24"/>
                <w:szCs w:val="24"/>
              </w:rPr>
              <w:t>July 2021</w:t>
            </w:r>
          </w:p>
        </w:tc>
      </w:tr>
      <w:tr w:rsidR="00E04AC3" w:rsidRPr="001F667D" w:rsidTr="00BB3986">
        <w:tc>
          <w:tcPr>
            <w:tcW w:w="1838" w:type="dxa"/>
          </w:tcPr>
          <w:p w:rsidR="00E04AC3" w:rsidRPr="001F667D" w:rsidRDefault="00E04AC3" w:rsidP="00BB3986">
            <w:pPr>
              <w:rPr>
                <w:b/>
                <w:color w:val="3B3838" w:themeColor="background2" w:themeShade="40"/>
                <w:sz w:val="24"/>
                <w:szCs w:val="24"/>
              </w:rPr>
            </w:pPr>
            <w:r w:rsidRPr="001F667D">
              <w:rPr>
                <w:b/>
                <w:color w:val="3B3838" w:themeColor="background2" w:themeShade="40"/>
                <w:sz w:val="24"/>
                <w:szCs w:val="24"/>
              </w:rPr>
              <w:t>Approved</w:t>
            </w:r>
          </w:p>
        </w:tc>
        <w:tc>
          <w:tcPr>
            <w:tcW w:w="7178" w:type="dxa"/>
            <w:gridSpan w:val="2"/>
          </w:tcPr>
          <w:p w:rsidR="00E04AC3" w:rsidRPr="001F667D" w:rsidRDefault="00E04AC3" w:rsidP="00BB3986">
            <w:pPr>
              <w:rPr>
                <w:color w:val="3B3838" w:themeColor="background2" w:themeShade="40"/>
                <w:sz w:val="24"/>
                <w:szCs w:val="24"/>
              </w:rPr>
            </w:pPr>
          </w:p>
        </w:tc>
      </w:tr>
      <w:tr w:rsidR="00E04AC3" w:rsidRPr="001F667D" w:rsidTr="00BB3986">
        <w:tc>
          <w:tcPr>
            <w:tcW w:w="1838" w:type="dxa"/>
          </w:tcPr>
          <w:p w:rsidR="00E04AC3" w:rsidRPr="001F667D" w:rsidRDefault="00E04AC3" w:rsidP="00BB3986">
            <w:pPr>
              <w:rPr>
                <w:b/>
                <w:color w:val="3B3838" w:themeColor="background2" w:themeShade="40"/>
                <w:sz w:val="24"/>
                <w:szCs w:val="24"/>
              </w:rPr>
            </w:pPr>
            <w:r w:rsidRPr="001F667D">
              <w:rPr>
                <w:b/>
                <w:color w:val="3B3838" w:themeColor="background2" w:themeShade="40"/>
                <w:sz w:val="24"/>
                <w:szCs w:val="24"/>
              </w:rPr>
              <w:t>Approving Body</w:t>
            </w:r>
          </w:p>
        </w:tc>
        <w:tc>
          <w:tcPr>
            <w:tcW w:w="7178" w:type="dxa"/>
            <w:gridSpan w:val="2"/>
          </w:tcPr>
          <w:p w:rsidR="00E04AC3" w:rsidRPr="001F667D" w:rsidRDefault="00025679" w:rsidP="00BB3986">
            <w:pPr>
              <w:rPr>
                <w:color w:val="3B3838" w:themeColor="background2" w:themeShade="40"/>
                <w:sz w:val="24"/>
                <w:szCs w:val="24"/>
              </w:rPr>
            </w:pPr>
            <w:r>
              <w:rPr>
                <w:color w:val="3B3838" w:themeColor="background2" w:themeShade="40"/>
                <w:sz w:val="24"/>
                <w:szCs w:val="24"/>
              </w:rPr>
              <w:t>Education (Pastoral) Committee</w:t>
            </w:r>
            <w:r w:rsidR="002F1CA0">
              <w:rPr>
                <w:color w:val="3B3838" w:themeColor="background2" w:themeShade="40"/>
                <w:sz w:val="24"/>
                <w:szCs w:val="24"/>
              </w:rPr>
              <w:t xml:space="preserve"> </w:t>
            </w:r>
          </w:p>
        </w:tc>
      </w:tr>
      <w:tr w:rsidR="00E04AC3" w:rsidRPr="001F667D" w:rsidTr="00BB3986">
        <w:tc>
          <w:tcPr>
            <w:tcW w:w="1838" w:type="dxa"/>
            <w:vMerge w:val="restart"/>
            <w:vAlign w:val="center"/>
          </w:tcPr>
          <w:p w:rsidR="00E04AC3" w:rsidRPr="001F667D" w:rsidRDefault="00E04AC3" w:rsidP="00BB3986">
            <w:pPr>
              <w:rPr>
                <w:b/>
                <w:color w:val="3B3838" w:themeColor="background2" w:themeShade="40"/>
                <w:sz w:val="24"/>
                <w:szCs w:val="24"/>
              </w:rPr>
            </w:pPr>
            <w:r w:rsidRPr="001F667D">
              <w:rPr>
                <w:b/>
                <w:color w:val="3B3838" w:themeColor="background2" w:themeShade="40"/>
                <w:sz w:val="24"/>
                <w:szCs w:val="24"/>
              </w:rPr>
              <w:t>Regulatory References</w:t>
            </w:r>
          </w:p>
        </w:tc>
        <w:tc>
          <w:tcPr>
            <w:tcW w:w="4536" w:type="dxa"/>
            <w:tcBorders>
              <w:bottom w:val="single" w:sz="4" w:space="0" w:color="auto"/>
            </w:tcBorders>
          </w:tcPr>
          <w:p w:rsidR="00E04AC3" w:rsidRPr="001F667D" w:rsidRDefault="00841CC9" w:rsidP="00BB3986">
            <w:pPr>
              <w:rPr>
                <w:color w:val="3B3838" w:themeColor="background2" w:themeShade="40"/>
                <w:sz w:val="24"/>
                <w:szCs w:val="24"/>
              </w:rPr>
            </w:pPr>
            <w:r w:rsidRPr="001F667D">
              <w:rPr>
                <w:color w:val="3B3838" w:themeColor="background2" w:themeShade="40"/>
                <w:sz w:val="24"/>
                <w:szCs w:val="24"/>
              </w:rPr>
              <w:t>Revised Prevent Duty Guidance</w:t>
            </w:r>
          </w:p>
        </w:tc>
        <w:tc>
          <w:tcPr>
            <w:tcW w:w="2642" w:type="dxa"/>
            <w:tcBorders>
              <w:bottom w:val="single" w:sz="4" w:space="0" w:color="auto"/>
            </w:tcBorders>
          </w:tcPr>
          <w:p w:rsidR="00E04AC3" w:rsidRPr="001F667D" w:rsidRDefault="009A5021" w:rsidP="009A5021">
            <w:pPr>
              <w:rPr>
                <w:color w:val="3B3838" w:themeColor="background2" w:themeShade="40"/>
                <w:sz w:val="24"/>
                <w:szCs w:val="24"/>
              </w:rPr>
            </w:pPr>
            <w:r>
              <w:rPr>
                <w:color w:val="3B3838" w:themeColor="background2" w:themeShade="40"/>
                <w:sz w:val="24"/>
                <w:szCs w:val="24"/>
              </w:rPr>
              <w:t>April 2021</w:t>
            </w:r>
            <w:r w:rsidR="00635821">
              <w:rPr>
                <w:color w:val="3B3838" w:themeColor="background2" w:themeShade="40"/>
                <w:sz w:val="24"/>
                <w:szCs w:val="24"/>
              </w:rPr>
              <w:t xml:space="preserve"> paragraphs 57-76</w:t>
            </w:r>
          </w:p>
        </w:tc>
      </w:tr>
      <w:tr w:rsidR="00E04AC3" w:rsidRPr="001F667D" w:rsidTr="00BB3986">
        <w:tc>
          <w:tcPr>
            <w:tcW w:w="1838" w:type="dxa"/>
            <w:vMerge/>
          </w:tcPr>
          <w:p w:rsidR="00E04AC3" w:rsidRPr="001F667D" w:rsidRDefault="00E04AC3" w:rsidP="00BB3986">
            <w:pPr>
              <w:rPr>
                <w:color w:val="3B3838" w:themeColor="background2" w:themeShade="40"/>
                <w:sz w:val="24"/>
                <w:szCs w:val="24"/>
              </w:rPr>
            </w:pPr>
          </w:p>
        </w:tc>
        <w:tc>
          <w:tcPr>
            <w:tcW w:w="4536" w:type="dxa"/>
            <w:tcBorders>
              <w:right w:val="nil"/>
            </w:tcBorders>
          </w:tcPr>
          <w:p w:rsidR="00E04AC3" w:rsidRPr="001F667D" w:rsidRDefault="00841CC9" w:rsidP="00BB3986">
            <w:pPr>
              <w:rPr>
                <w:color w:val="3B3838" w:themeColor="background2" w:themeShade="40"/>
                <w:sz w:val="24"/>
                <w:szCs w:val="24"/>
              </w:rPr>
            </w:pPr>
            <w:r w:rsidRPr="001F667D">
              <w:rPr>
                <w:color w:val="3B3838" w:themeColor="background2" w:themeShade="40"/>
                <w:sz w:val="24"/>
                <w:szCs w:val="24"/>
              </w:rPr>
              <w:t>Counter-T</w:t>
            </w:r>
            <w:r w:rsidR="006F7A1F">
              <w:rPr>
                <w:color w:val="3B3838" w:themeColor="background2" w:themeShade="40"/>
                <w:sz w:val="24"/>
                <w:szCs w:val="24"/>
              </w:rPr>
              <w:t>errorism and Security Act 2015</w:t>
            </w:r>
          </w:p>
          <w:p w:rsidR="001F667D" w:rsidRPr="001F667D" w:rsidRDefault="009A5021" w:rsidP="009A5021">
            <w:pPr>
              <w:rPr>
                <w:color w:val="3B3838" w:themeColor="background2" w:themeShade="40"/>
                <w:sz w:val="24"/>
                <w:szCs w:val="24"/>
              </w:rPr>
            </w:pPr>
            <w:r>
              <w:rPr>
                <w:color w:val="3B3838" w:themeColor="background2" w:themeShade="40"/>
                <w:sz w:val="24"/>
                <w:szCs w:val="24"/>
              </w:rPr>
              <w:t>KCSIE 2021, pp. 112-115</w:t>
            </w:r>
          </w:p>
        </w:tc>
        <w:tc>
          <w:tcPr>
            <w:tcW w:w="2642" w:type="dxa"/>
            <w:tcBorders>
              <w:left w:val="nil"/>
            </w:tcBorders>
          </w:tcPr>
          <w:p w:rsidR="001F667D" w:rsidRPr="001F667D" w:rsidRDefault="00DC2B8A" w:rsidP="00BB3986">
            <w:pPr>
              <w:rPr>
                <w:color w:val="3B3838" w:themeColor="background2" w:themeShade="40"/>
                <w:sz w:val="24"/>
                <w:szCs w:val="24"/>
              </w:rPr>
            </w:pPr>
            <w:r w:rsidRPr="001F667D">
              <w:rPr>
                <w:color w:val="3B3838" w:themeColor="background2" w:themeShade="40"/>
                <w:sz w:val="24"/>
                <w:szCs w:val="24"/>
              </w:rPr>
              <w:t>Section</w:t>
            </w:r>
            <w:r w:rsidR="00B83AAC">
              <w:rPr>
                <w:color w:val="3B3838" w:themeColor="background2" w:themeShade="40"/>
                <w:sz w:val="24"/>
                <w:szCs w:val="24"/>
              </w:rPr>
              <w:t>s</w:t>
            </w:r>
            <w:r w:rsidRPr="001F667D">
              <w:rPr>
                <w:color w:val="3B3838" w:themeColor="background2" w:themeShade="40"/>
                <w:sz w:val="24"/>
                <w:szCs w:val="24"/>
              </w:rPr>
              <w:t xml:space="preserve"> 26</w:t>
            </w:r>
            <w:r w:rsidR="00B83AAC">
              <w:rPr>
                <w:color w:val="3B3838" w:themeColor="background2" w:themeShade="40"/>
                <w:sz w:val="24"/>
                <w:szCs w:val="24"/>
              </w:rPr>
              <w:t xml:space="preserve"> &amp; 29</w:t>
            </w:r>
            <w:bookmarkStart w:id="0" w:name="_GoBack"/>
            <w:bookmarkEnd w:id="0"/>
          </w:p>
          <w:p w:rsidR="001F667D" w:rsidRPr="001F667D" w:rsidRDefault="001F667D" w:rsidP="00BB3986">
            <w:pPr>
              <w:rPr>
                <w:color w:val="3B3838" w:themeColor="background2" w:themeShade="40"/>
                <w:sz w:val="24"/>
                <w:szCs w:val="24"/>
              </w:rPr>
            </w:pPr>
          </w:p>
        </w:tc>
      </w:tr>
      <w:tr w:rsidR="00E04AC3" w:rsidRPr="001F667D" w:rsidTr="00BB3986">
        <w:tc>
          <w:tcPr>
            <w:tcW w:w="1838" w:type="dxa"/>
          </w:tcPr>
          <w:p w:rsidR="00E04AC3" w:rsidRPr="001F667D" w:rsidRDefault="00E04AC3" w:rsidP="00BB3986">
            <w:pPr>
              <w:rPr>
                <w:b/>
                <w:color w:val="3B3838" w:themeColor="background2" w:themeShade="40"/>
                <w:sz w:val="24"/>
                <w:szCs w:val="24"/>
              </w:rPr>
            </w:pPr>
            <w:r w:rsidRPr="001F667D">
              <w:rPr>
                <w:b/>
                <w:color w:val="3B3838" w:themeColor="background2" w:themeShade="40"/>
                <w:sz w:val="24"/>
                <w:szCs w:val="24"/>
              </w:rPr>
              <w:t>New Review</w:t>
            </w:r>
          </w:p>
        </w:tc>
        <w:tc>
          <w:tcPr>
            <w:tcW w:w="7178" w:type="dxa"/>
            <w:gridSpan w:val="2"/>
          </w:tcPr>
          <w:p w:rsidR="00E04AC3" w:rsidRPr="001F667D" w:rsidRDefault="009A5021" w:rsidP="00BB3986">
            <w:pPr>
              <w:rPr>
                <w:color w:val="3B3838" w:themeColor="background2" w:themeShade="40"/>
                <w:sz w:val="24"/>
                <w:szCs w:val="24"/>
              </w:rPr>
            </w:pPr>
            <w:r>
              <w:rPr>
                <w:color w:val="3B3838" w:themeColor="background2" w:themeShade="40"/>
                <w:sz w:val="24"/>
                <w:szCs w:val="24"/>
              </w:rPr>
              <w:t>July 2022</w:t>
            </w:r>
          </w:p>
        </w:tc>
      </w:tr>
    </w:tbl>
    <w:p w:rsidR="00E04AC3" w:rsidRDefault="00E04AC3">
      <w:pPr>
        <w:rPr>
          <w:sz w:val="24"/>
          <w:szCs w:val="24"/>
        </w:rPr>
      </w:pPr>
    </w:p>
    <w:p w:rsidR="00BB3986" w:rsidRDefault="00BB3986">
      <w:pPr>
        <w:rPr>
          <w:sz w:val="24"/>
          <w:szCs w:val="24"/>
        </w:rPr>
      </w:pPr>
    </w:p>
    <w:p w:rsidR="00BB3986" w:rsidRPr="001F667D" w:rsidRDefault="00BB3986">
      <w:pPr>
        <w:rPr>
          <w:sz w:val="24"/>
          <w:szCs w:val="24"/>
        </w:rPr>
      </w:pPr>
    </w:p>
    <w:p w:rsidR="007A00C6" w:rsidRPr="001F667D" w:rsidRDefault="007A00C6" w:rsidP="001F667D">
      <w:pPr>
        <w:jc w:val="both"/>
        <w:rPr>
          <w:sz w:val="24"/>
          <w:szCs w:val="24"/>
        </w:rPr>
      </w:pPr>
      <w:r w:rsidRPr="001F667D">
        <w:rPr>
          <w:sz w:val="24"/>
          <w:szCs w:val="24"/>
        </w:rPr>
        <w:t xml:space="preserve">The Counter-Terrorism and Security Act 2015 </w:t>
      </w:r>
      <w:r w:rsidR="001F667D">
        <w:rPr>
          <w:sz w:val="24"/>
          <w:szCs w:val="24"/>
        </w:rPr>
        <w:t xml:space="preserve">(Section 26) </w:t>
      </w:r>
      <w:r w:rsidRPr="001F667D">
        <w:rPr>
          <w:sz w:val="24"/>
          <w:szCs w:val="24"/>
        </w:rPr>
        <w:t xml:space="preserve">places a duty on education and other children’s services to have </w:t>
      </w:r>
      <w:r w:rsidR="00B83AAC">
        <w:rPr>
          <w:sz w:val="24"/>
          <w:szCs w:val="24"/>
        </w:rPr>
        <w:t>“</w:t>
      </w:r>
      <w:r w:rsidRPr="001F667D">
        <w:rPr>
          <w:sz w:val="24"/>
          <w:szCs w:val="24"/>
        </w:rPr>
        <w:t>due regard to the need to prevent people from being drawn into terrorism</w:t>
      </w:r>
      <w:r w:rsidR="00B83AAC">
        <w:rPr>
          <w:sz w:val="24"/>
          <w:szCs w:val="24"/>
        </w:rPr>
        <w:t>”</w:t>
      </w:r>
      <w:r w:rsidRPr="001F667D">
        <w:rPr>
          <w:sz w:val="24"/>
          <w:szCs w:val="24"/>
        </w:rPr>
        <w:t xml:space="preserve">. The duty is known as the </w:t>
      </w:r>
      <w:r w:rsidRPr="00B83AAC">
        <w:rPr>
          <w:b/>
          <w:sz w:val="24"/>
          <w:szCs w:val="24"/>
        </w:rPr>
        <w:t>Prevent Duty</w:t>
      </w:r>
      <w:r w:rsidR="00B83AAC">
        <w:rPr>
          <w:b/>
          <w:sz w:val="24"/>
          <w:szCs w:val="24"/>
        </w:rPr>
        <w:t>.</w:t>
      </w:r>
    </w:p>
    <w:p w:rsidR="007A00C6" w:rsidRPr="001F667D" w:rsidRDefault="002F1CA0" w:rsidP="001F667D">
      <w:pPr>
        <w:jc w:val="both"/>
        <w:rPr>
          <w:sz w:val="24"/>
          <w:szCs w:val="24"/>
        </w:rPr>
      </w:pPr>
      <w:r>
        <w:rPr>
          <w:sz w:val="24"/>
          <w:szCs w:val="24"/>
        </w:rPr>
        <w:t xml:space="preserve"> All </w:t>
      </w:r>
      <w:r w:rsidR="007A00C6" w:rsidRPr="001F667D">
        <w:rPr>
          <w:sz w:val="24"/>
          <w:szCs w:val="24"/>
        </w:rPr>
        <w:t xml:space="preserve">Stowe staff should read this policy in conjunction with our </w:t>
      </w:r>
      <w:r w:rsidR="00DC2B8A" w:rsidRPr="00B046AB">
        <w:rPr>
          <w:sz w:val="24"/>
          <w:szCs w:val="24"/>
        </w:rPr>
        <w:t>Safeguarding and Child</w:t>
      </w:r>
      <w:r w:rsidR="007A00C6" w:rsidRPr="00B046AB">
        <w:rPr>
          <w:sz w:val="24"/>
          <w:szCs w:val="24"/>
        </w:rPr>
        <w:t xml:space="preserve"> Protection Policy, our Digital policy and our Equality Policy. All staff s</w:t>
      </w:r>
      <w:r w:rsidR="007A00C6" w:rsidRPr="001F667D">
        <w:rPr>
          <w:sz w:val="24"/>
          <w:szCs w:val="24"/>
        </w:rPr>
        <w:t>hould be alert to</w:t>
      </w:r>
      <w:r>
        <w:rPr>
          <w:sz w:val="24"/>
          <w:szCs w:val="24"/>
        </w:rPr>
        <w:t xml:space="preserve"> pupils attempting to access on</w:t>
      </w:r>
      <w:r w:rsidR="007A00C6" w:rsidRPr="001F667D">
        <w:rPr>
          <w:sz w:val="24"/>
          <w:szCs w:val="24"/>
        </w:rPr>
        <w:t>line and via ‘apps’ material that could be used in an</w:t>
      </w:r>
      <w:r w:rsidR="00677A42">
        <w:rPr>
          <w:sz w:val="24"/>
          <w:szCs w:val="24"/>
        </w:rPr>
        <w:t xml:space="preserve"> attempt to radicalise children or having extreme views, cont</w:t>
      </w:r>
      <w:r w:rsidR="00BC2739">
        <w:rPr>
          <w:sz w:val="24"/>
          <w:szCs w:val="24"/>
        </w:rPr>
        <w:t>r</w:t>
      </w:r>
      <w:r w:rsidR="00677A42">
        <w:rPr>
          <w:sz w:val="24"/>
          <w:szCs w:val="24"/>
        </w:rPr>
        <w:t xml:space="preserve">ary to British values (see below). </w:t>
      </w:r>
    </w:p>
    <w:p w:rsidR="007A00C6" w:rsidRPr="001F667D" w:rsidRDefault="007A00C6" w:rsidP="001F667D">
      <w:pPr>
        <w:jc w:val="both"/>
        <w:rPr>
          <w:b/>
          <w:sz w:val="24"/>
          <w:szCs w:val="24"/>
        </w:rPr>
      </w:pPr>
      <w:r w:rsidRPr="001F667D">
        <w:rPr>
          <w:sz w:val="24"/>
          <w:szCs w:val="24"/>
        </w:rPr>
        <w:t>The following guidance is written with r</w:t>
      </w:r>
      <w:r w:rsidR="000F3E51">
        <w:rPr>
          <w:sz w:val="24"/>
          <w:szCs w:val="24"/>
        </w:rPr>
        <w:t>egard to S</w:t>
      </w:r>
      <w:r w:rsidRPr="001F667D">
        <w:rPr>
          <w:sz w:val="24"/>
          <w:szCs w:val="24"/>
        </w:rPr>
        <w:t>ection 26 of the Counter-Terrorism and Security Act 2015; which defines extremism as:</w:t>
      </w:r>
      <w:r w:rsidRPr="001F667D">
        <w:rPr>
          <w:b/>
          <w:sz w:val="24"/>
          <w:szCs w:val="24"/>
        </w:rPr>
        <w:t xml:space="preserve"> ‘</w:t>
      </w:r>
      <w:r w:rsidR="00DC2B8A" w:rsidRPr="001F667D">
        <w:rPr>
          <w:b/>
          <w:sz w:val="24"/>
          <w:szCs w:val="24"/>
        </w:rPr>
        <w:t xml:space="preserve">the </w:t>
      </w:r>
      <w:r w:rsidRPr="001F667D">
        <w:rPr>
          <w:b/>
          <w:sz w:val="24"/>
          <w:szCs w:val="24"/>
        </w:rPr>
        <w:t xml:space="preserve">vocal or active opposition to </w:t>
      </w:r>
      <w:r w:rsidR="00DC2B8A" w:rsidRPr="001F667D">
        <w:rPr>
          <w:b/>
          <w:sz w:val="24"/>
          <w:szCs w:val="24"/>
        </w:rPr>
        <w:t xml:space="preserve">our fundamental </w:t>
      </w:r>
      <w:r w:rsidRPr="001F667D">
        <w:rPr>
          <w:b/>
          <w:sz w:val="24"/>
          <w:szCs w:val="24"/>
        </w:rPr>
        <w:t xml:space="preserve">values, including </w:t>
      </w:r>
      <w:r w:rsidR="00DC2B8A" w:rsidRPr="001F667D">
        <w:rPr>
          <w:b/>
          <w:sz w:val="24"/>
          <w:szCs w:val="24"/>
        </w:rPr>
        <w:t>the rule of law,</w:t>
      </w:r>
      <w:r w:rsidRPr="001F667D">
        <w:rPr>
          <w:b/>
          <w:sz w:val="24"/>
          <w:szCs w:val="24"/>
        </w:rPr>
        <w:t xml:space="preserve"> individual liberty and </w:t>
      </w:r>
      <w:r w:rsidR="00DC2B8A" w:rsidRPr="001F667D">
        <w:rPr>
          <w:b/>
          <w:sz w:val="24"/>
          <w:szCs w:val="24"/>
        </w:rPr>
        <w:t xml:space="preserve">the </w:t>
      </w:r>
      <w:r w:rsidRPr="001F667D">
        <w:rPr>
          <w:b/>
          <w:sz w:val="24"/>
          <w:szCs w:val="24"/>
        </w:rPr>
        <w:t xml:space="preserve">mutual respect and tolerance of different faiths and beliefs. </w:t>
      </w:r>
      <w:r w:rsidR="002F1CA0">
        <w:rPr>
          <w:b/>
          <w:sz w:val="24"/>
          <w:szCs w:val="24"/>
        </w:rPr>
        <w:t xml:space="preserve"> </w:t>
      </w:r>
      <w:r w:rsidRPr="001F667D">
        <w:rPr>
          <w:b/>
          <w:sz w:val="24"/>
          <w:szCs w:val="24"/>
        </w:rPr>
        <w:t>We also include in our definition of extremism</w:t>
      </w:r>
      <w:r w:rsidR="00DC2B8A" w:rsidRPr="001F667D">
        <w:rPr>
          <w:b/>
          <w:sz w:val="24"/>
          <w:szCs w:val="24"/>
        </w:rPr>
        <w:t>,</w:t>
      </w:r>
      <w:r w:rsidRPr="001F667D">
        <w:rPr>
          <w:b/>
          <w:sz w:val="24"/>
          <w:szCs w:val="24"/>
        </w:rPr>
        <w:t xml:space="preserve"> calls for the death of members of our armed forces, whether in this country or overseas’.</w:t>
      </w:r>
    </w:p>
    <w:p w:rsidR="00DC2B8A" w:rsidRPr="001F667D" w:rsidRDefault="00DC2B8A" w:rsidP="001F667D">
      <w:pPr>
        <w:jc w:val="both"/>
        <w:rPr>
          <w:b/>
          <w:sz w:val="24"/>
          <w:szCs w:val="24"/>
        </w:rPr>
      </w:pPr>
      <w:r w:rsidRPr="001F667D">
        <w:rPr>
          <w:sz w:val="24"/>
          <w:szCs w:val="24"/>
        </w:rPr>
        <w:t>Radicalisation</w:t>
      </w:r>
      <w:r w:rsidRPr="001F667D">
        <w:rPr>
          <w:b/>
          <w:sz w:val="24"/>
          <w:szCs w:val="24"/>
        </w:rPr>
        <w:t xml:space="preserve"> ‘refers to the process by which a person comes to support terrorism and extremist ideologies associated with terror groups’. </w:t>
      </w:r>
    </w:p>
    <w:p w:rsidR="007A00C6" w:rsidRPr="001F667D" w:rsidRDefault="007A00C6" w:rsidP="001F667D">
      <w:pPr>
        <w:jc w:val="both"/>
        <w:rPr>
          <w:sz w:val="24"/>
          <w:szCs w:val="24"/>
        </w:rPr>
      </w:pPr>
      <w:r w:rsidRPr="001F667D">
        <w:rPr>
          <w:sz w:val="24"/>
          <w:szCs w:val="24"/>
        </w:rPr>
        <w:t xml:space="preserve">The most significant threats are currently </w:t>
      </w:r>
      <w:r w:rsidRPr="001F667D">
        <w:rPr>
          <w:b/>
          <w:i/>
          <w:sz w:val="24"/>
          <w:szCs w:val="24"/>
        </w:rPr>
        <w:t>from terrorist organis</w:t>
      </w:r>
      <w:r w:rsidR="00612E77">
        <w:rPr>
          <w:b/>
          <w:i/>
          <w:sz w:val="24"/>
          <w:szCs w:val="24"/>
        </w:rPr>
        <w:t>ations in Syria and Iraq, a</w:t>
      </w:r>
      <w:r w:rsidR="00B046AB">
        <w:rPr>
          <w:b/>
          <w:i/>
          <w:sz w:val="24"/>
          <w:szCs w:val="24"/>
        </w:rPr>
        <w:t>n</w:t>
      </w:r>
      <w:r w:rsidR="00612E77">
        <w:rPr>
          <w:b/>
          <w:i/>
          <w:sz w:val="24"/>
          <w:szCs w:val="24"/>
        </w:rPr>
        <w:t>d Al-</w:t>
      </w:r>
      <w:r w:rsidRPr="001F667D">
        <w:rPr>
          <w:b/>
          <w:i/>
          <w:sz w:val="24"/>
          <w:szCs w:val="24"/>
        </w:rPr>
        <w:t>Qa</w:t>
      </w:r>
      <w:r w:rsidR="00612E77">
        <w:rPr>
          <w:b/>
          <w:i/>
          <w:sz w:val="24"/>
          <w:szCs w:val="24"/>
        </w:rPr>
        <w:t>eda</w:t>
      </w:r>
      <w:r w:rsidRPr="001F667D">
        <w:rPr>
          <w:b/>
          <w:i/>
          <w:sz w:val="24"/>
          <w:szCs w:val="24"/>
        </w:rPr>
        <w:t xml:space="preserve"> associated groups.</w:t>
      </w:r>
      <w:r w:rsidRPr="001F667D">
        <w:rPr>
          <w:sz w:val="24"/>
          <w:szCs w:val="24"/>
        </w:rPr>
        <w:t xml:space="preserve"> However, terrorist</w:t>
      </w:r>
      <w:r w:rsidR="00025679">
        <w:rPr>
          <w:sz w:val="24"/>
          <w:szCs w:val="24"/>
        </w:rPr>
        <w:t>s</w:t>
      </w:r>
      <w:r w:rsidRPr="001F667D">
        <w:rPr>
          <w:sz w:val="24"/>
          <w:szCs w:val="24"/>
        </w:rPr>
        <w:t xml:space="preserve"> associated with the </w:t>
      </w:r>
      <w:r w:rsidRPr="001F667D">
        <w:rPr>
          <w:b/>
          <w:i/>
          <w:sz w:val="24"/>
          <w:szCs w:val="24"/>
        </w:rPr>
        <w:t>extreme right</w:t>
      </w:r>
      <w:r w:rsidRPr="001F667D">
        <w:rPr>
          <w:sz w:val="24"/>
          <w:szCs w:val="24"/>
        </w:rPr>
        <w:t xml:space="preserve"> </w:t>
      </w:r>
      <w:r w:rsidR="00B046AB">
        <w:rPr>
          <w:sz w:val="24"/>
          <w:szCs w:val="24"/>
        </w:rPr>
        <w:t>in UK</w:t>
      </w:r>
      <w:r w:rsidR="002F1CA0">
        <w:rPr>
          <w:sz w:val="24"/>
          <w:szCs w:val="24"/>
        </w:rPr>
        <w:t xml:space="preserve">, </w:t>
      </w:r>
      <w:r w:rsidR="00B046AB">
        <w:rPr>
          <w:sz w:val="24"/>
          <w:szCs w:val="24"/>
        </w:rPr>
        <w:t xml:space="preserve">Europe </w:t>
      </w:r>
      <w:r w:rsidR="002F1CA0">
        <w:rPr>
          <w:sz w:val="24"/>
          <w:szCs w:val="24"/>
        </w:rPr>
        <w:t xml:space="preserve">and North America </w:t>
      </w:r>
      <w:r w:rsidRPr="001F667D">
        <w:rPr>
          <w:sz w:val="24"/>
          <w:szCs w:val="24"/>
        </w:rPr>
        <w:t xml:space="preserve">also pose a continued </w:t>
      </w:r>
      <w:r w:rsidR="002F1CA0">
        <w:rPr>
          <w:sz w:val="24"/>
          <w:szCs w:val="24"/>
        </w:rPr>
        <w:t xml:space="preserve">and growing </w:t>
      </w:r>
      <w:r w:rsidRPr="001F667D">
        <w:rPr>
          <w:sz w:val="24"/>
          <w:szCs w:val="24"/>
        </w:rPr>
        <w:t>threat.</w:t>
      </w:r>
    </w:p>
    <w:p w:rsidR="007A00C6" w:rsidRPr="001F667D" w:rsidRDefault="007A00C6" w:rsidP="001F667D">
      <w:pPr>
        <w:jc w:val="both"/>
        <w:rPr>
          <w:sz w:val="24"/>
          <w:szCs w:val="24"/>
        </w:rPr>
      </w:pPr>
      <w:r w:rsidRPr="001F667D">
        <w:rPr>
          <w:sz w:val="24"/>
          <w:szCs w:val="24"/>
        </w:rPr>
        <w:t>There is no place for extremist views of any kind in our School. Our pupils see our School as a safe place where they can explore controversial issues safely and where our teachers encourage and facilitate this. As a School</w:t>
      </w:r>
      <w:r w:rsidR="00B83AAC">
        <w:rPr>
          <w:sz w:val="24"/>
          <w:szCs w:val="24"/>
        </w:rPr>
        <w:t>,</w:t>
      </w:r>
      <w:r w:rsidRPr="001F667D">
        <w:rPr>
          <w:sz w:val="24"/>
          <w:szCs w:val="24"/>
        </w:rPr>
        <w:t xml:space="preserve"> we recognise that extremism and exposure to extremist views can lead to poor outcomes for children and so should be addressed as a safeguarding concern. We also recognise that if we fail to challenge extremist views we are failing to protect our pupils.</w:t>
      </w:r>
      <w:r w:rsidR="00677A42">
        <w:rPr>
          <w:sz w:val="24"/>
          <w:szCs w:val="24"/>
        </w:rPr>
        <w:t xml:space="preserve">  All visiting speakers have to be approved by management and meet the Visiting Speakers’ Policy. </w:t>
      </w:r>
    </w:p>
    <w:p w:rsidR="007A00C6" w:rsidRPr="001F667D" w:rsidRDefault="007A00C6" w:rsidP="001F667D">
      <w:pPr>
        <w:jc w:val="both"/>
        <w:rPr>
          <w:sz w:val="24"/>
          <w:szCs w:val="24"/>
        </w:rPr>
      </w:pPr>
      <w:r w:rsidRPr="001F667D">
        <w:rPr>
          <w:sz w:val="24"/>
          <w:szCs w:val="24"/>
        </w:rPr>
        <w:t>Any concerns about a child suspected of involvement in extremis</w:t>
      </w:r>
      <w:r w:rsidR="00B83AAC">
        <w:rPr>
          <w:sz w:val="24"/>
          <w:szCs w:val="24"/>
        </w:rPr>
        <w:t>t</w:t>
      </w:r>
      <w:r w:rsidRPr="001F667D">
        <w:rPr>
          <w:sz w:val="24"/>
          <w:szCs w:val="24"/>
        </w:rPr>
        <w:t xml:space="preserve"> groups, terrorism or who could be vulnerable to radicalisation must be reported to the DSL (Designated Safeguarding </w:t>
      </w:r>
      <w:r w:rsidRPr="001F667D">
        <w:rPr>
          <w:sz w:val="24"/>
          <w:szCs w:val="24"/>
        </w:rPr>
        <w:lastRenderedPageBreak/>
        <w:t>Lead). The DSL is aware of their duty to report such concerns to ‘Channel’ under the Prevent Strategy and to Social Services.</w:t>
      </w:r>
    </w:p>
    <w:p w:rsidR="008F2678" w:rsidRPr="008F2678" w:rsidRDefault="008F2678" w:rsidP="008F2678">
      <w:pPr>
        <w:rPr>
          <w:b/>
          <w:sz w:val="24"/>
        </w:rPr>
      </w:pPr>
      <w:r w:rsidRPr="008F2678">
        <w:rPr>
          <w:b/>
          <w:sz w:val="24"/>
        </w:rPr>
        <w:t>Preventing Radicalisation</w:t>
      </w:r>
    </w:p>
    <w:p w:rsidR="008F2678" w:rsidRDefault="008F2678" w:rsidP="008F2678">
      <w:r>
        <w:t>Children are vulnerable to extremist ideology and radicalisation. Similar to protecting children from other forms of harms and abuse, protecting children from this risk should be a part of a schools’ or colleges’ safeguarding approach.</w:t>
      </w:r>
    </w:p>
    <w:p w:rsidR="008F2678" w:rsidRDefault="008F2678" w:rsidP="008F2678">
      <w:pPr>
        <w:rPr>
          <w:rFonts w:ascii="Symbol" w:hAnsi="Symbol"/>
          <w:sz w:val="24"/>
        </w:rPr>
      </w:pPr>
      <w:r>
        <w:rPr>
          <w:b/>
          <w:sz w:val="24"/>
        </w:rPr>
        <w:t>Extremism</w:t>
      </w:r>
      <w:hyperlink w:anchor="_bookmark135" w:history="1">
        <w:r>
          <w:rPr>
            <w:position w:val="8"/>
            <w:sz w:val="16"/>
          </w:rPr>
          <w:t xml:space="preserve"> </w:t>
        </w:r>
      </w:hyperlink>
      <w:r>
        <w:rPr>
          <w:sz w:val="24"/>
        </w:rPr>
        <w:t>is the vocal or active opposition to our fundamental values, including democracy, the rule of law, individual liberty and the mutual respect and tolerance of different faiths and beliefs. This also includes calling for the death of members of the armed forces.</w:t>
      </w:r>
    </w:p>
    <w:p w:rsidR="008F2678" w:rsidRDefault="008F2678" w:rsidP="008F2678">
      <w:pPr>
        <w:rPr>
          <w:rFonts w:ascii="Symbol" w:hAnsi="Symbol"/>
          <w:sz w:val="24"/>
        </w:rPr>
      </w:pPr>
      <w:r>
        <w:rPr>
          <w:b/>
          <w:sz w:val="24"/>
        </w:rPr>
        <w:t xml:space="preserve">Radicalisation </w:t>
      </w:r>
      <w:r>
        <w:rPr>
          <w:sz w:val="24"/>
        </w:rPr>
        <w:t>refers to the process by which a person comes to support terrorism and extremist ideologies associated with terrorist</w:t>
      </w:r>
      <w:r>
        <w:rPr>
          <w:spacing w:val="-9"/>
          <w:sz w:val="24"/>
        </w:rPr>
        <w:t xml:space="preserve"> </w:t>
      </w:r>
      <w:r>
        <w:rPr>
          <w:sz w:val="24"/>
        </w:rPr>
        <w:t>groups.</w:t>
      </w:r>
    </w:p>
    <w:p w:rsidR="008F2678" w:rsidRDefault="008F2678" w:rsidP="008F2678">
      <w:pPr>
        <w:rPr>
          <w:rFonts w:ascii="Symbol" w:hAnsi="Symbol"/>
          <w:sz w:val="24"/>
        </w:rPr>
      </w:pPr>
      <w:r>
        <w:rPr>
          <w:b/>
          <w:sz w:val="24"/>
        </w:rPr>
        <w:t>Terrorism</w:t>
      </w:r>
      <w:hyperlink w:anchor="_bookmark137" w:history="1">
        <w:r>
          <w:rPr>
            <w:position w:val="8"/>
            <w:sz w:val="16"/>
          </w:rPr>
          <w:t xml:space="preserve"> </w:t>
        </w:r>
      </w:hyperlink>
      <w:r>
        <w:rPr>
          <w:sz w:val="24"/>
        </w:rPr>
        <w:t xml:space="preserve">is an action that endangers or causes serious violence to a person/people; causes serious damage to property; or seriously interferes or disrupts an electronic system. The use or threat </w:t>
      </w:r>
      <w:r>
        <w:rPr>
          <w:b/>
          <w:sz w:val="24"/>
        </w:rPr>
        <w:t xml:space="preserve">must </w:t>
      </w:r>
      <w:r>
        <w:rPr>
          <w:sz w:val="24"/>
        </w:rPr>
        <w:t>be designed to influence the government or to intimidate the public and is made for the purpose of advancing a political, religious or ideological</w:t>
      </w:r>
      <w:r>
        <w:rPr>
          <w:spacing w:val="-4"/>
          <w:sz w:val="24"/>
        </w:rPr>
        <w:t xml:space="preserve"> </w:t>
      </w:r>
      <w:r>
        <w:rPr>
          <w:sz w:val="24"/>
        </w:rPr>
        <w:t>cause.</w:t>
      </w:r>
    </w:p>
    <w:p w:rsidR="007A00C6" w:rsidRPr="001F667D" w:rsidRDefault="007A00C6" w:rsidP="001F667D">
      <w:pPr>
        <w:jc w:val="both"/>
        <w:rPr>
          <w:b/>
          <w:sz w:val="24"/>
          <w:szCs w:val="24"/>
        </w:rPr>
      </w:pPr>
      <w:r w:rsidRPr="001F667D">
        <w:rPr>
          <w:b/>
          <w:sz w:val="24"/>
          <w:szCs w:val="24"/>
        </w:rPr>
        <w:t>Contact details:</w:t>
      </w:r>
    </w:p>
    <w:p w:rsidR="00DC2B8A" w:rsidRPr="001F667D" w:rsidRDefault="007A00C6" w:rsidP="001F667D">
      <w:pPr>
        <w:jc w:val="both"/>
        <w:rPr>
          <w:b/>
          <w:sz w:val="24"/>
          <w:szCs w:val="24"/>
        </w:rPr>
      </w:pPr>
      <w:r w:rsidRPr="001F667D">
        <w:rPr>
          <w:b/>
          <w:sz w:val="24"/>
          <w:szCs w:val="24"/>
        </w:rPr>
        <w:t>In an emergency call 999 and Social Services First Response Team and Police (MASH)</w:t>
      </w:r>
      <w:r w:rsidR="00A25470" w:rsidRPr="001F667D">
        <w:rPr>
          <w:b/>
          <w:sz w:val="24"/>
          <w:szCs w:val="24"/>
        </w:rPr>
        <w:t xml:space="preserve">  </w:t>
      </w:r>
    </w:p>
    <w:p w:rsidR="007A00C6" w:rsidRDefault="00A25470" w:rsidP="00CB2B9E">
      <w:pPr>
        <w:spacing w:line="240" w:lineRule="auto"/>
        <w:jc w:val="both"/>
        <w:rPr>
          <w:sz w:val="24"/>
          <w:szCs w:val="24"/>
        </w:rPr>
      </w:pPr>
      <w:r w:rsidRPr="001F667D">
        <w:rPr>
          <w:sz w:val="24"/>
          <w:szCs w:val="24"/>
        </w:rPr>
        <w:t>Tel: 0845 4600 001 or 0</w:t>
      </w:r>
      <w:r w:rsidR="00B83AAC">
        <w:rPr>
          <w:sz w:val="24"/>
          <w:szCs w:val="24"/>
        </w:rPr>
        <w:t>1</w:t>
      </w:r>
      <w:r w:rsidRPr="001F667D">
        <w:rPr>
          <w:sz w:val="24"/>
          <w:szCs w:val="24"/>
        </w:rPr>
        <w:t>296 383962</w:t>
      </w:r>
      <w:r w:rsidR="00025679">
        <w:rPr>
          <w:sz w:val="24"/>
          <w:szCs w:val="24"/>
        </w:rPr>
        <w:t xml:space="preserve"> or email </w:t>
      </w:r>
      <w:hyperlink r:id="rId8" w:history="1">
        <w:r w:rsidR="00025679" w:rsidRPr="001D2B82">
          <w:rPr>
            <w:rStyle w:val="Hyperlink"/>
            <w:sz w:val="24"/>
            <w:szCs w:val="24"/>
          </w:rPr>
          <w:t>secure-cypfirstresponse@buckscc.gcsx.gov.uk</w:t>
        </w:r>
      </w:hyperlink>
    </w:p>
    <w:p w:rsidR="00025679" w:rsidRPr="001F667D" w:rsidRDefault="00025679" w:rsidP="00CB2B9E">
      <w:pPr>
        <w:spacing w:line="240" w:lineRule="auto"/>
        <w:jc w:val="both"/>
        <w:rPr>
          <w:sz w:val="24"/>
          <w:szCs w:val="24"/>
        </w:rPr>
      </w:pPr>
      <w:r>
        <w:rPr>
          <w:sz w:val="24"/>
          <w:szCs w:val="24"/>
        </w:rPr>
        <w:t>Police (Thames Valley)</w:t>
      </w:r>
      <w:r w:rsidR="00CB2B9E">
        <w:rPr>
          <w:sz w:val="24"/>
          <w:szCs w:val="24"/>
        </w:rPr>
        <w:t>:</w:t>
      </w:r>
      <w:r>
        <w:rPr>
          <w:sz w:val="24"/>
          <w:szCs w:val="24"/>
        </w:rPr>
        <w:t xml:space="preserve"> Preventreferrals@thamesvalley.pnn.police.uk</w:t>
      </w:r>
    </w:p>
    <w:p w:rsidR="00A25470" w:rsidRPr="001F667D" w:rsidRDefault="00A25470" w:rsidP="001F667D">
      <w:pPr>
        <w:spacing w:after="0"/>
        <w:jc w:val="both"/>
        <w:rPr>
          <w:sz w:val="24"/>
          <w:szCs w:val="24"/>
        </w:rPr>
      </w:pPr>
      <w:r w:rsidRPr="001F667D">
        <w:rPr>
          <w:b/>
          <w:sz w:val="24"/>
          <w:szCs w:val="24"/>
        </w:rPr>
        <w:t xml:space="preserve">Out of Hours Service: </w:t>
      </w:r>
      <w:r w:rsidR="001F667D" w:rsidRPr="001F667D">
        <w:rPr>
          <w:sz w:val="24"/>
          <w:szCs w:val="24"/>
        </w:rPr>
        <w:t>Tel: 08</w:t>
      </w:r>
      <w:r w:rsidRPr="001F667D">
        <w:rPr>
          <w:sz w:val="24"/>
          <w:szCs w:val="24"/>
        </w:rPr>
        <w:t>00 999 7677</w:t>
      </w:r>
    </w:p>
    <w:p w:rsidR="00A25470" w:rsidRPr="001F667D" w:rsidRDefault="00A25470" w:rsidP="001F667D">
      <w:pPr>
        <w:spacing w:after="0"/>
        <w:jc w:val="both"/>
        <w:rPr>
          <w:sz w:val="24"/>
          <w:szCs w:val="24"/>
        </w:rPr>
      </w:pPr>
      <w:r w:rsidRPr="001F667D">
        <w:rPr>
          <w:sz w:val="24"/>
          <w:szCs w:val="24"/>
        </w:rPr>
        <w:t>For non-emergency advice and support phone: 0207 340</w:t>
      </w:r>
      <w:r w:rsidR="00DC2B8A" w:rsidRPr="001F667D">
        <w:rPr>
          <w:sz w:val="24"/>
          <w:szCs w:val="24"/>
        </w:rPr>
        <w:t xml:space="preserve"> </w:t>
      </w:r>
      <w:r w:rsidRPr="001F667D">
        <w:rPr>
          <w:sz w:val="24"/>
          <w:szCs w:val="24"/>
        </w:rPr>
        <w:t>7264</w:t>
      </w:r>
    </w:p>
    <w:p w:rsidR="00612E77" w:rsidRDefault="00A25470" w:rsidP="00612E77">
      <w:pPr>
        <w:spacing w:after="0" w:line="240" w:lineRule="auto"/>
        <w:jc w:val="both"/>
        <w:rPr>
          <w:sz w:val="24"/>
          <w:szCs w:val="24"/>
          <w:lang w:val="it-IT"/>
        </w:rPr>
      </w:pPr>
      <w:r w:rsidRPr="001F667D">
        <w:rPr>
          <w:sz w:val="24"/>
          <w:szCs w:val="24"/>
          <w:lang w:val="it-IT"/>
        </w:rPr>
        <w:t>E-mail: counter-extremism@education.gsi.gov.uk</w:t>
      </w:r>
    </w:p>
    <w:p w:rsidR="00612E77" w:rsidRDefault="00612E77" w:rsidP="00612E77">
      <w:pPr>
        <w:spacing w:after="0" w:line="240" w:lineRule="auto"/>
        <w:jc w:val="both"/>
        <w:rPr>
          <w:sz w:val="24"/>
          <w:szCs w:val="24"/>
          <w:lang w:val="it-IT"/>
        </w:rPr>
      </w:pPr>
    </w:p>
    <w:p w:rsidR="002F1CA0" w:rsidRPr="002F1CA0" w:rsidRDefault="002F1CA0" w:rsidP="00612E77">
      <w:pPr>
        <w:spacing w:after="0" w:line="240" w:lineRule="auto"/>
        <w:jc w:val="both"/>
        <w:rPr>
          <w:b/>
          <w:sz w:val="24"/>
          <w:szCs w:val="24"/>
          <w:lang w:val="it-IT"/>
        </w:rPr>
      </w:pPr>
      <w:r w:rsidRPr="002F1CA0">
        <w:rPr>
          <w:b/>
          <w:sz w:val="24"/>
          <w:szCs w:val="24"/>
          <w:lang w:val="it-IT"/>
        </w:rPr>
        <w:t>Stowe School</w:t>
      </w:r>
    </w:p>
    <w:p w:rsidR="002F1CA0" w:rsidRDefault="004B6544" w:rsidP="00CB2B9E">
      <w:pPr>
        <w:spacing w:after="0" w:line="276" w:lineRule="auto"/>
        <w:jc w:val="both"/>
        <w:rPr>
          <w:sz w:val="24"/>
          <w:szCs w:val="24"/>
          <w:lang w:val="it-IT"/>
        </w:rPr>
      </w:pPr>
      <w:r>
        <w:rPr>
          <w:sz w:val="24"/>
          <w:szCs w:val="24"/>
          <w:lang w:val="it-IT"/>
        </w:rPr>
        <w:t>D</w:t>
      </w:r>
      <w:r w:rsidR="002F1CA0">
        <w:rPr>
          <w:sz w:val="24"/>
          <w:szCs w:val="24"/>
          <w:lang w:val="it-IT"/>
        </w:rPr>
        <w:t>SL:</w:t>
      </w:r>
      <w:r w:rsidR="00677A42">
        <w:rPr>
          <w:sz w:val="24"/>
          <w:szCs w:val="24"/>
          <w:lang w:val="it-IT"/>
        </w:rPr>
        <w:tab/>
        <w:t>M</w:t>
      </w:r>
      <w:r w:rsidR="002F1CA0">
        <w:rPr>
          <w:sz w:val="24"/>
          <w:szCs w:val="24"/>
          <w:lang w:val="it-IT"/>
        </w:rPr>
        <w:t xml:space="preserve">ike Rickner 01280 818108; </w:t>
      </w:r>
      <w:r w:rsidR="008F2678">
        <w:fldChar w:fldCharType="begin"/>
      </w:r>
      <w:r w:rsidR="008F2678">
        <w:instrText xml:space="preserve"> HYPERLINK "mailto:mrickner@stowe.co.uk" </w:instrText>
      </w:r>
      <w:r w:rsidR="008F2678">
        <w:fldChar w:fldCharType="separate"/>
      </w:r>
      <w:r w:rsidR="002F1CA0" w:rsidRPr="001D2B82">
        <w:rPr>
          <w:rStyle w:val="Hyperlink"/>
          <w:sz w:val="24"/>
          <w:szCs w:val="24"/>
          <w:lang w:val="it-IT"/>
        </w:rPr>
        <w:t>mrickner@stowe.co.uk</w:t>
      </w:r>
      <w:r w:rsidR="008F2678">
        <w:rPr>
          <w:rStyle w:val="Hyperlink"/>
          <w:sz w:val="24"/>
          <w:szCs w:val="24"/>
          <w:lang w:val="it-IT"/>
        </w:rPr>
        <w:fldChar w:fldCharType="end"/>
      </w:r>
      <w:r w:rsidR="002F1CA0">
        <w:rPr>
          <w:sz w:val="24"/>
          <w:szCs w:val="24"/>
          <w:lang w:val="it-IT"/>
        </w:rPr>
        <w:t>; 07467 949767</w:t>
      </w:r>
    </w:p>
    <w:p w:rsidR="002F1CA0" w:rsidRDefault="002F1CA0" w:rsidP="00CB2B9E">
      <w:pPr>
        <w:spacing w:after="0" w:line="276" w:lineRule="auto"/>
        <w:jc w:val="both"/>
        <w:rPr>
          <w:sz w:val="24"/>
          <w:szCs w:val="24"/>
          <w:lang w:val="it-IT"/>
        </w:rPr>
      </w:pPr>
      <w:r>
        <w:rPr>
          <w:sz w:val="24"/>
          <w:szCs w:val="24"/>
          <w:lang w:val="it-IT"/>
        </w:rPr>
        <w:t xml:space="preserve">DDSL: </w:t>
      </w:r>
      <w:r w:rsidR="00677A42">
        <w:rPr>
          <w:sz w:val="24"/>
          <w:szCs w:val="24"/>
          <w:lang w:val="it-IT"/>
        </w:rPr>
        <w:tab/>
      </w:r>
      <w:r>
        <w:rPr>
          <w:sz w:val="24"/>
          <w:szCs w:val="24"/>
          <w:lang w:val="it-IT"/>
        </w:rPr>
        <w:t xml:space="preserve">Louise Springall 01280 818424; </w:t>
      </w:r>
      <w:r w:rsidR="008F2678">
        <w:fldChar w:fldCharType="begin"/>
      </w:r>
      <w:r w:rsidR="008F2678">
        <w:instrText xml:space="preserve"> HYPERLINK "mailto:lspringall@stowe.co.uk" </w:instrText>
      </w:r>
      <w:r w:rsidR="008F2678">
        <w:fldChar w:fldCharType="separate"/>
      </w:r>
      <w:r w:rsidRPr="001D2B82">
        <w:rPr>
          <w:rStyle w:val="Hyperlink"/>
          <w:sz w:val="24"/>
          <w:szCs w:val="24"/>
          <w:lang w:val="it-IT"/>
        </w:rPr>
        <w:t>lspringall@stowe.co.uk</w:t>
      </w:r>
      <w:r w:rsidR="008F2678">
        <w:rPr>
          <w:rStyle w:val="Hyperlink"/>
          <w:sz w:val="24"/>
          <w:szCs w:val="24"/>
          <w:lang w:val="it-IT"/>
        </w:rPr>
        <w:fldChar w:fldCharType="end"/>
      </w:r>
      <w:r>
        <w:rPr>
          <w:sz w:val="24"/>
          <w:szCs w:val="24"/>
          <w:lang w:val="it-IT"/>
        </w:rPr>
        <w:t>; 07775 847247</w:t>
      </w:r>
    </w:p>
    <w:p w:rsidR="002F1CA0" w:rsidRPr="00612E77" w:rsidRDefault="002F1CA0" w:rsidP="00612E77">
      <w:pPr>
        <w:spacing w:after="0" w:line="240" w:lineRule="auto"/>
        <w:jc w:val="both"/>
        <w:rPr>
          <w:sz w:val="24"/>
          <w:szCs w:val="24"/>
          <w:lang w:val="it-IT"/>
        </w:rPr>
      </w:pPr>
    </w:p>
    <w:p w:rsidR="00A25470" w:rsidRPr="001F667D" w:rsidRDefault="00A25470" w:rsidP="00612E77">
      <w:pPr>
        <w:spacing w:line="240" w:lineRule="auto"/>
        <w:jc w:val="both"/>
        <w:rPr>
          <w:sz w:val="24"/>
          <w:szCs w:val="24"/>
        </w:rPr>
      </w:pPr>
      <w:r w:rsidRPr="001F667D">
        <w:rPr>
          <w:b/>
          <w:sz w:val="24"/>
          <w:szCs w:val="24"/>
        </w:rPr>
        <w:t>Identifying pupils at risk of Radicalisation:</w:t>
      </w:r>
      <w:r w:rsidRPr="001F667D">
        <w:rPr>
          <w:sz w:val="24"/>
          <w:szCs w:val="24"/>
        </w:rPr>
        <w:t xml:space="preserve"> There is no single way of identifying who is like</w:t>
      </w:r>
      <w:r w:rsidR="00DC2B8A" w:rsidRPr="001F667D">
        <w:rPr>
          <w:sz w:val="24"/>
          <w:szCs w:val="24"/>
        </w:rPr>
        <w:t>ly to be</w:t>
      </w:r>
      <w:r w:rsidRPr="001F667D">
        <w:rPr>
          <w:sz w:val="24"/>
          <w:szCs w:val="24"/>
        </w:rPr>
        <w:t xml:space="preserve"> vulnerable to being drawn into terrorism. Factors that may have a bearing on someone becoming vulnerable may include: peer pressure, influence from other people or via the internet. Bullying, crime against them or their involvement in crime, anti-social behaviour, family tensions, race/hate crime, lack of self-esteem or identity and personal or political grievances. Examples of influences that make individuals </w:t>
      </w:r>
      <w:r w:rsidRPr="001F667D">
        <w:rPr>
          <w:b/>
          <w:i/>
          <w:sz w:val="24"/>
          <w:szCs w:val="24"/>
        </w:rPr>
        <w:t>vulnerable</w:t>
      </w:r>
      <w:r w:rsidRPr="001F667D">
        <w:rPr>
          <w:sz w:val="24"/>
          <w:szCs w:val="24"/>
        </w:rPr>
        <w:t xml:space="preserve"> to engagement with an extremist group, cause or ideology include:</w:t>
      </w:r>
    </w:p>
    <w:p w:rsidR="00A25470" w:rsidRPr="001F667D" w:rsidRDefault="00B046AB" w:rsidP="001F667D">
      <w:pPr>
        <w:pStyle w:val="ListParagraph"/>
        <w:numPr>
          <w:ilvl w:val="0"/>
          <w:numId w:val="1"/>
        </w:numPr>
        <w:jc w:val="both"/>
        <w:rPr>
          <w:sz w:val="24"/>
          <w:szCs w:val="24"/>
        </w:rPr>
      </w:pPr>
      <w:r>
        <w:rPr>
          <w:sz w:val="24"/>
          <w:szCs w:val="24"/>
        </w:rPr>
        <w:t>f</w:t>
      </w:r>
      <w:r w:rsidR="00E75060" w:rsidRPr="001F667D">
        <w:rPr>
          <w:sz w:val="24"/>
          <w:szCs w:val="24"/>
        </w:rPr>
        <w:t>eelings of grievance and injustice</w:t>
      </w:r>
    </w:p>
    <w:p w:rsidR="00E75060" w:rsidRPr="00B046AB" w:rsidRDefault="00B046AB" w:rsidP="00B046AB">
      <w:pPr>
        <w:pStyle w:val="ListParagraph"/>
        <w:numPr>
          <w:ilvl w:val="0"/>
          <w:numId w:val="1"/>
        </w:numPr>
        <w:jc w:val="both"/>
        <w:rPr>
          <w:sz w:val="24"/>
          <w:szCs w:val="24"/>
        </w:rPr>
      </w:pPr>
      <w:r w:rsidRPr="00B046AB">
        <w:rPr>
          <w:sz w:val="24"/>
          <w:szCs w:val="24"/>
        </w:rPr>
        <w:t>f</w:t>
      </w:r>
      <w:r w:rsidR="00E75060" w:rsidRPr="00B046AB">
        <w:rPr>
          <w:sz w:val="24"/>
          <w:szCs w:val="24"/>
        </w:rPr>
        <w:t>eeling under threat</w:t>
      </w:r>
    </w:p>
    <w:p w:rsidR="00E75060" w:rsidRPr="001F667D" w:rsidRDefault="00B046AB" w:rsidP="001F667D">
      <w:pPr>
        <w:pStyle w:val="ListParagraph"/>
        <w:numPr>
          <w:ilvl w:val="0"/>
          <w:numId w:val="1"/>
        </w:numPr>
        <w:jc w:val="both"/>
        <w:rPr>
          <w:sz w:val="24"/>
          <w:szCs w:val="24"/>
        </w:rPr>
      </w:pPr>
      <w:r>
        <w:rPr>
          <w:sz w:val="24"/>
          <w:szCs w:val="24"/>
        </w:rPr>
        <w:t>a</w:t>
      </w:r>
      <w:r w:rsidR="00E75060" w:rsidRPr="001F667D">
        <w:rPr>
          <w:sz w:val="24"/>
          <w:szCs w:val="24"/>
        </w:rPr>
        <w:t xml:space="preserve"> need for identity, meaning and belonging</w:t>
      </w:r>
    </w:p>
    <w:p w:rsidR="00E75060" w:rsidRPr="001F667D" w:rsidRDefault="00B046AB" w:rsidP="001F667D">
      <w:pPr>
        <w:pStyle w:val="ListParagraph"/>
        <w:numPr>
          <w:ilvl w:val="0"/>
          <w:numId w:val="1"/>
        </w:numPr>
        <w:jc w:val="both"/>
        <w:rPr>
          <w:sz w:val="24"/>
          <w:szCs w:val="24"/>
        </w:rPr>
      </w:pPr>
      <w:r>
        <w:rPr>
          <w:sz w:val="24"/>
          <w:szCs w:val="24"/>
        </w:rPr>
        <w:t>a</w:t>
      </w:r>
      <w:r w:rsidR="00E75060" w:rsidRPr="001F667D">
        <w:rPr>
          <w:sz w:val="24"/>
          <w:szCs w:val="24"/>
        </w:rPr>
        <w:t xml:space="preserve"> desire for status</w:t>
      </w:r>
    </w:p>
    <w:p w:rsidR="00E75060" w:rsidRPr="001F667D" w:rsidRDefault="00B046AB" w:rsidP="001F667D">
      <w:pPr>
        <w:pStyle w:val="ListParagraph"/>
        <w:numPr>
          <w:ilvl w:val="0"/>
          <w:numId w:val="1"/>
        </w:numPr>
        <w:jc w:val="both"/>
        <w:rPr>
          <w:sz w:val="24"/>
          <w:szCs w:val="24"/>
        </w:rPr>
      </w:pPr>
      <w:r>
        <w:rPr>
          <w:sz w:val="24"/>
          <w:szCs w:val="24"/>
        </w:rPr>
        <w:lastRenderedPageBreak/>
        <w:t>a</w:t>
      </w:r>
      <w:r w:rsidR="00E75060" w:rsidRPr="001F667D">
        <w:rPr>
          <w:sz w:val="24"/>
          <w:szCs w:val="24"/>
        </w:rPr>
        <w:t xml:space="preserve"> desire for excitement adventure</w:t>
      </w:r>
    </w:p>
    <w:p w:rsidR="00E75060" w:rsidRPr="001F667D" w:rsidRDefault="00B046AB" w:rsidP="001F667D">
      <w:pPr>
        <w:pStyle w:val="ListParagraph"/>
        <w:numPr>
          <w:ilvl w:val="0"/>
          <w:numId w:val="1"/>
        </w:numPr>
        <w:jc w:val="both"/>
        <w:rPr>
          <w:sz w:val="24"/>
          <w:szCs w:val="24"/>
        </w:rPr>
      </w:pPr>
      <w:r>
        <w:rPr>
          <w:sz w:val="24"/>
          <w:szCs w:val="24"/>
        </w:rPr>
        <w:t>a</w:t>
      </w:r>
      <w:r w:rsidR="00E75060" w:rsidRPr="001F667D">
        <w:rPr>
          <w:sz w:val="24"/>
          <w:szCs w:val="24"/>
        </w:rPr>
        <w:t xml:space="preserve"> need to dominate and control others</w:t>
      </w:r>
    </w:p>
    <w:p w:rsidR="00E75060" w:rsidRPr="001F667D" w:rsidRDefault="00B046AB" w:rsidP="001F667D">
      <w:pPr>
        <w:pStyle w:val="ListParagraph"/>
        <w:numPr>
          <w:ilvl w:val="0"/>
          <w:numId w:val="1"/>
        </w:numPr>
        <w:jc w:val="both"/>
        <w:rPr>
          <w:sz w:val="24"/>
          <w:szCs w:val="24"/>
        </w:rPr>
      </w:pPr>
      <w:r>
        <w:rPr>
          <w:sz w:val="24"/>
          <w:szCs w:val="24"/>
        </w:rPr>
        <w:t>s</w:t>
      </w:r>
      <w:r w:rsidR="00E75060" w:rsidRPr="001F667D">
        <w:rPr>
          <w:sz w:val="24"/>
          <w:szCs w:val="24"/>
        </w:rPr>
        <w:t>usceptibility to indoctrination</w:t>
      </w:r>
    </w:p>
    <w:p w:rsidR="00E75060" w:rsidRPr="001F667D" w:rsidRDefault="00B046AB" w:rsidP="001F667D">
      <w:pPr>
        <w:pStyle w:val="ListParagraph"/>
        <w:numPr>
          <w:ilvl w:val="0"/>
          <w:numId w:val="1"/>
        </w:numPr>
        <w:jc w:val="both"/>
        <w:rPr>
          <w:sz w:val="24"/>
          <w:szCs w:val="24"/>
        </w:rPr>
      </w:pPr>
      <w:r>
        <w:rPr>
          <w:sz w:val="24"/>
          <w:szCs w:val="24"/>
        </w:rPr>
        <w:t>a</w:t>
      </w:r>
      <w:r w:rsidR="00E75060" w:rsidRPr="001F667D">
        <w:rPr>
          <w:sz w:val="24"/>
          <w:szCs w:val="24"/>
        </w:rPr>
        <w:t xml:space="preserve"> desire for political or moral change</w:t>
      </w:r>
    </w:p>
    <w:p w:rsidR="00E75060" w:rsidRPr="001F667D" w:rsidRDefault="00B046AB" w:rsidP="001F667D">
      <w:pPr>
        <w:pStyle w:val="ListParagraph"/>
        <w:numPr>
          <w:ilvl w:val="0"/>
          <w:numId w:val="1"/>
        </w:numPr>
        <w:jc w:val="both"/>
        <w:rPr>
          <w:sz w:val="24"/>
          <w:szCs w:val="24"/>
        </w:rPr>
      </w:pPr>
      <w:r>
        <w:rPr>
          <w:sz w:val="24"/>
          <w:szCs w:val="24"/>
        </w:rPr>
        <w:t>o</w:t>
      </w:r>
      <w:r w:rsidR="00E75060" w:rsidRPr="001F667D">
        <w:rPr>
          <w:sz w:val="24"/>
          <w:szCs w:val="24"/>
        </w:rPr>
        <w:t>pportunistic involvement</w:t>
      </w:r>
    </w:p>
    <w:p w:rsidR="00E75060" w:rsidRPr="001F667D" w:rsidRDefault="00B046AB" w:rsidP="001F667D">
      <w:pPr>
        <w:pStyle w:val="ListParagraph"/>
        <w:numPr>
          <w:ilvl w:val="0"/>
          <w:numId w:val="1"/>
        </w:numPr>
        <w:jc w:val="both"/>
        <w:rPr>
          <w:sz w:val="24"/>
          <w:szCs w:val="24"/>
        </w:rPr>
      </w:pPr>
      <w:r>
        <w:rPr>
          <w:sz w:val="24"/>
          <w:szCs w:val="24"/>
        </w:rPr>
        <w:t>f</w:t>
      </w:r>
      <w:r w:rsidR="00E75060" w:rsidRPr="001F667D">
        <w:rPr>
          <w:sz w:val="24"/>
          <w:szCs w:val="24"/>
        </w:rPr>
        <w:t>amily or friends involvement in extremism</w:t>
      </w:r>
    </w:p>
    <w:p w:rsidR="00E75060" w:rsidRPr="001F667D" w:rsidRDefault="00B046AB" w:rsidP="001F667D">
      <w:pPr>
        <w:pStyle w:val="ListParagraph"/>
        <w:numPr>
          <w:ilvl w:val="0"/>
          <w:numId w:val="1"/>
        </w:numPr>
        <w:jc w:val="both"/>
        <w:rPr>
          <w:sz w:val="24"/>
          <w:szCs w:val="24"/>
        </w:rPr>
      </w:pPr>
      <w:r>
        <w:rPr>
          <w:sz w:val="24"/>
          <w:szCs w:val="24"/>
        </w:rPr>
        <w:t>b</w:t>
      </w:r>
      <w:r w:rsidR="00E75060" w:rsidRPr="001F667D">
        <w:rPr>
          <w:sz w:val="24"/>
          <w:szCs w:val="24"/>
        </w:rPr>
        <w:t>eing at a transitional time of life</w:t>
      </w:r>
    </w:p>
    <w:p w:rsidR="00E75060" w:rsidRPr="001F667D" w:rsidRDefault="00B046AB" w:rsidP="001F667D">
      <w:pPr>
        <w:pStyle w:val="ListParagraph"/>
        <w:numPr>
          <w:ilvl w:val="0"/>
          <w:numId w:val="1"/>
        </w:numPr>
        <w:jc w:val="both"/>
        <w:rPr>
          <w:sz w:val="24"/>
          <w:szCs w:val="24"/>
        </w:rPr>
      </w:pPr>
      <w:r>
        <w:rPr>
          <w:sz w:val="24"/>
          <w:szCs w:val="24"/>
        </w:rPr>
        <w:t>b</w:t>
      </w:r>
      <w:r w:rsidR="00E75060" w:rsidRPr="001F667D">
        <w:rPr>
          <w:sz w:val="24"/>
          <w:szCs w:val="24"/>
        </w:rPr>
        <w:t>eing influenced or controlled by a group</w:t>
      </w:r>
    </w:p>
    <w:p w:rsidR="00E75060" w:rsidRPr="001F667D" w:rsidRDefault="00B046AB" w:rsidP="001F667D">
      <w:pPr>
        <w:pStyle w:val="ListParagraph"/>
        <w:numPr>
          <w:ilvl w:val="0"/>
          <w:numId w:val="1"/>
        </w:numPr>
        <w:jc w:val="both"/>
        <w:rPr>
          <w:sz w:val="24"/>
          <w:szCs w:val="24"/>
        </w:rPr>
      </w:pPr>
      <w:r>
        <w:rPr>
          <w:sz w:val="24"/>
          <w:szCs w:val="24"/>
        </w:rPr>
        <w:t>r</w:t>
      </w:r>
      <w:r w:rsidR="00E75060" w:rsidRPr="001F667D">
        <w:rPr>
          <w:sz w:val="24"/>
          <w:szCs w:val="24"/>
        </w:rPr>
        <w:t>elevant mental health issues</w:t>
      </w:r>
    </w:p>
    <w:p w:rsidR="00E75060" w:rsidRPr="001F667D" w:rsidRDefault="00E75060" w:rsidP="001F667D">
      <w:pPr>
        <w:jc w:val="both"/>
        <w:rPr>
          <w:b/>
          <w:sz w:val="24"/>
          <w:szCs w:val="24"/>
        </w:rPr>
      </w:pPr>
      <w:r w:rsidRPr="001F667D">
        <w:rPr>
          <w:b/>
          <w:sz w:val="24"/>
          <w:szCs w:val="24"/>
        </w:rPr>
        <w:t xml:space="preserve">Example indicators that an individual </w:t>
      </w:r>
      <w:r w:rsidRPr="001F667D">
        <w:rPr>
          <w:b/>
          <w:i/>
          <w:sz w:val="24"/>
          <w:szCs w:val="24"/>
        </w:rPr>
        <w:t xml:space="preserve">is </w:t>
      </w:r>
      <w:r w:rsidRPr="001F667D">
        <w:rPr>
          <w:b/>
          <w:sz w:val="24"/>
          <w:szCs w:val="24"/>
        </w:rPr>
        <w:t>engaged with an extremist group, cause or ideology include:</w:t>
      </w:r>
    </w:p>
    <w:p w:rsidR="00E75060" w:rsidRPr="001F667D" w:rsidRDefault="00B046AB" w:rsidP="001F667D">
      <w:pPr>
        <w:pStyle w:val="ListParagraph"/>
        <w:numPr>
          <w:ilvl w:val="0"/>
          <w:numId w:val="2"/>
        </w:numPr>
        <w:jc w:val="both"/>
        <w:rPr>
          <w:b/>
          <w:sz w:val="24"/>
          <w:szCs w:val="24"/>
        </w:rPr>
      </w:pPr>
      <w:r>
        <w:rPr>
          <w:sz w:val="24"/>
          <w:szCs w:val="24"/>
        </w:rPr>
        <w:t>s</w:t>
      </w:r>
      <w:r w:rsidR="00E75060" w:rsidRPr="001F667D">
        <w:rPr>
          <w:sz w:val="24"/>
          <w:szCs w:val="24"/>
        </w:rPr>
        <w:t>pending increasing time in the company of the suspected extremists</w:t>
      </w:r>
    </w:p>
    <w:p w:rsidR="00E75060" w:rsidRPr="001F667D" w:rsidRDefault="00B046AB" w:rsidP="001F667D">
      <w:pPr>
        <w:pStyle w:val="ListParagraph"/>
        <w:numPr>
          <w:ilvl w:val="0"/>
          <w:numId w:val="2"/>
        </w:numPr>
        <w:jc w:val="both"/>
        <w:rPr>
          <w:b/>
          <w:sz w:val="24"/>
          <w:szCs w:val="24"/>
        </w:rPr>
      </w:pPr>
      <w:r>
        <w:rPr>
          <w:sz w:val="24"/>
          <w:szCs w:val="24"/>
        </w:rPr>
        <w:t>c</w:t>
      </w:r>
      <w:r w:rsidR="00E75060" w:rsidRPr="001F667D">
        <w:rPr>
          <w:sz w:val="24"/>
          <w:szCs w:val="24"/>
        </w:rPr>
        <w:t>hanging their style of dress or personal appearance to accord with the group</w:t>
      </w:r>
    </w:p>
    <w:p w:rsidR="00E75060" w:rsidRPr="001F667D" w:rsidRDefault="00B046AB" w:rsidP="001F667D">
      <w:pPr>
        <w:pStyle w:val="ListParagraph"/>
        <w:numPr>
          <w:ilvl w:val="0"/>
          <w:numId w:val="2"/>
        </w:numPr>
        <w:jc w:val="both"/>
        <w:rPr>
          <w:b/>
          <w:sz w:val="24"/>
          <w:szCs w:val="24"/>
        </w:rPr>
      </w:pPr>
      <w:r>
        <w:rPr>
          <w:sz w:val="24"/>
          <w:szCs w:val="24"/>
        </w:rPr>
        <w:t>t</w:t>
      </w:r>
      <w:r w:rsidR="00E75060" w:rsidRPr="001F667D">
        <w:rPr>
          <w:sz w:val="24"/>
          <w:szCs w:val="24"/>
        </w:rPr>
        <w:t>heir day-to-day behaviour becoming increasingly centred around an extremist ideology, group or cause</w:t>
      </w:r>
    </w:p>
    <w:p w:rsidR="00E75060" w:rsidRPr="001F667D" w:rsidRDefault="00B046AB" w:rsidP="001F667D">
      <w:pPr>
        <w:pStyle w:val="ListParagraph"/>
        <w:numPr>
          <w:ilvl w:val="0"/>
          <w:numId w:val="2"/>
        </w:numPr>
        <w:jc w:val="both"/>
        <w:rPr>
          <w:b/>
          <w:sz w:val="24"/>
          <w:szCs w:val="24"/>
        </w:rPr>
      </w:pPr>
      <w:r>
        <w:rPr>
          <w:sz w:val="24"/>
          <w:szCs w:val="24"/>
        </w:rPr>
        <w:t>l</w:t>
      </w:r>
      <w:r w:rsidR="00E75060" w:rsidRPr="001F667D">
        <w:rPr>
          <w:sz w:val="24"/>
          <w:szCs w:val="24"/>
        </w:rPr>
        <w:t>oss of interest in other friends and activities not associated with the extremist ideology, group or cause</w:t>
      </w:r>
    </w:p>
    <w:p w:rsidR="00E75060" w:rsidRPr="001F667D" w:rsidRDefault="00B046AB" w:rsidP="001F667D">
      <w:pPr>
        <w:pStyle w:val="ListParagraph"/>
        <w:numPr>
          <w:ilvl w:val="0"/>
          <w:numId w:val="2"/>
        </w:numPr>
        <w:jc w:val="both"/>
        <w:rPr>
          <w:b/>
          <w:sz w:val="24"/>
          <w:szCs w:val="24"/>
        </w:rPr>
      </w:pPr>
      <w:r>
        <w:rPr>
          <w:sz w:val="24"/>
          <w:szCs w:val="24"/>
        </w:rPr>
        <w:t>p</w:t>
      </w:r>
      <w:r w:rsidR="00E75060" w:rsidRPr="001F667D">
        <w:rPr>
          <w:sz w:val="24"/>
          <w:szCs w:val="24"/>
        </w:rPr>
        <w:t>ossession of material or symbols associated with an extremist cause (e.g. swastika for neo-Nazi groups)</w:t>
      </w:r>
    </w:p>
    <w:p w:rsidR="00E75060" w:rsidRPr="001F667D" w:rsidRDefault="00B046AB" w:rsidP="001F667D">
      <w:pPr>
        <w:pStyle w:val="ListParagraph"/>
        <w:numPr>
          <w:ilvl w:val="0"/>
          <w:numId w:val="2"/>
        </w:numPr>
        <w:jc w:val="both"/>
        <w:rPr>
          <w:b/>
          <w:sz w:val="24"/>
          <w:szCs w:val="24"/>
        </w:rPr>
      </w:pPr>
      <w:r>
        <w:rPr>
          <w:sz w:val="24"/>
          <w:szCs w:val="24"/>
        </w:rPr>
        <w:t>a</w:t>
      </w:r>
      <w:r w:rsidR="00E75060" w:rsidRPr="001F667D">
        <w:rPr>
          <w:sz w:val="24"/>
          <w:szCs w:val="24"/>
        </w:rPr>
        <w:t>ttempts to recruit others to the group/cause/ideology</w:t>
      </w:r>
    </w:p>
    <w:p w:rsidR="00E75060" w:rsidRPr="001F667D" w:rsidRDefault="00E75060" w:rsidP="001F667D">
      <w:pPr>
        <w:jc w:val="both"/>
        <w:rPr>
          <w:sz w:val="24"/>
          <w:szCs w:val="24"/>
        </w:rPr>
      </w:pPr>
      <w:r w:rsidRPr="001F667D">
        <w:rPr>
          <w:b/>
          <w:sz w:val="24"/>
          <w:szCs w:val="24"/>
        </w:rPr>
        <w:t xml:space="preserve">Intent to cause harm: </w:t>
      </w:r>
      <w:r w:rsidRPr="001F667D">
        <w:rPr>
          <w:sz w:val="24"/>
          <w:szCs w:val="24"/>
        </w:rPr>
        <w:t xml:space="preserve">Not all those who become engaged by a group, cause or ideology go on to develop an intention to cause harm, so this dimension is considered separately. Intent factors describe the mind-set that is associated with a </w:t>
      </w:r>
      <w:r w:rsidRPr="001F667D">
        <w:rPr>
          <w:b/>
          <w:i/>
          <w:sz w:val="24"/>
          <w:szCs w:val="24"/>
        </w:rPr>
        <w:t>readiness to use violence</w:t>
      </w:r>
      <w:r w:rsidRPr="001F667D">
        <w:rPr>
          <w:sz w:val="24"/>
          <w:szCs w:val="24"/>
        </w:rPr>
        <w:t xml:space="preserve"> and address what the individual would do and to what end. They can include:</w:t>
      </w:r>
    </w:p>
    <w:p w:rsidR="00E75060" w:rsidRPr="001F667D" w:rsidRDefault="00B046AB" w:rsidP="001F667D">
      <w:pPr>
        <w:pStyle w:val="ListParagraph"/>
        <w:numPr>
          <w:ilvl w:val="0"/>
          <w:numId w:val="3"/>
        </w:numPr>
        <w:jc w:val="both"/>
        <w:rPr>
          <w:sz w:val="24"/>
          <w:szCs w:val="24"/>
        </w:rPr>
      </w:pPr>
      <w:r>
        <w:rPr>
          <w:sz w:val="24"/>
          <w:szCs w:val="24"/>
        </w:rPr>
        <w:t>o</w:t>
      </w:r>
      <w:r w:rsidR="00E75060" w:rsidRPr="001F667D">
        <w:rPr>
          <w:sz w:val="24"/>
          <w:szCs w:val="24"/>
        </w:rPr>
        <w:t>ver-identification with a group or ideology</w:t>
      </w:r>
    </w:p>
    <w:p w:rsidR="00E75060" w:rsidRPr="001F667D" w:rsidRDefault="00B046AB" w:rsidP="001F667D">
      <w:pPr>
        <w:pStyle w:val="ListParagraph"/>
        <w:numPr>
          <w:ilvl w:val="0"/>
          <w:numId w:val="3"/>
        </w:numPr>
        <w:jc w:val="both"/>
        <w:rPr>
          <w:sz w:val="24"/>
          <w:szCs w:val="24"/>
        </w:rPr>
      </w:pPr>
      <w:r>
        <w:rPr>
          <w:sz w:val="24"/>
          <w:szCs w:val="24"/>
        </w:rPr>
        <w:t>‘t</w:t>
      </w:r>
      <w:r w:rsidR="00E75060" w:rsidRPr="001F667D">
        <w:rPr>
          <w:sz w:val="24"/>
          <w:szCs w:val="24"/>
        </w:rPr>
        <w:t>hem and us’ thinking</w:t>
      </w:r>
    </w:p>
    <w:p w:rsidR="00E75060" w:rsidRPr="001F667D" w:rsidRDefault="00B046AB" w:rsidP="001F667D">
      <w:pPr>
        <w:pStyle w:val="ListParagraph"/>
        <w:numPr>
          <w:ilvl w:val="0"/>
          <w:numId w:val="3"/>
        </w:numPr>
        <w:jc w:val="both"/>
        <w:rPr>
          <w:sz w:val="24"/>
          <w:szCs w:val="24"/>
        </w:rPr>
      </w:pPr>
      <w:r>
        <w:rPr>
          <w:sz w:val="24"/>
          <w:szCs w:val="24"/>
        </w:rPr>
        <w:t>d</w:t>
      </w:r>
      <w:r w:rsidR="00E75060" w:rsidRPr="001F667D">
        <w:rPr>
          <w:sz w:val="24"/>
          <w:szCs w:val="24"/>
        </w:rPr>
        <w:t>ehumanisation of the enemy</w:t>
      </w:r>
    </w:p>
    <w:p w:rsidR="00E75060" w:rsidRPr="001F667D" w:rsidRDefault="00B046AB" w:rsidP="001F667D">
      <w:pPr>
        <w:pStyle w:val="ListParagraph"/>
        <w:numPr>
          <w:ilvl w:val="0"/>
          <w:numId w:val="3"/>
        </w:numPr>
        <w:jc w:val="both"/>
        <w:rPr>
          <w:sz w:val="24"/>
          <w:szCs w:val="24"/>
        </w:rPr>
      </w:pPr>
      <w:r>
        <w:rPr>
          <w:sz w:val="24"/>
          <w:szCs w:val="24"/>
        </w:rPr>
        <w:t>a</w:t>
      </w:r>
      <w:r w:rsidR="00E75060" w:rsidRPr="001F667D">
        <w:rPr>
          <w:sz w:val="24"/>
          <w:szCs w:val="24"/>
        </w:rPr>
        <w:t>ttitudes that justify offending</w:t>
      </w:r>
    </w:p>
    <w:p w:rsidR="00E75060" w:rsidRPr="001F667D" w:rsidRDefault="00B046AB" w:rsidP="001F667D">
      <w:pPr>
        <w:pStyle w:val="ListParagraph"/>
        <w:numPr>
          <w:ilvl w:val="0"/>
          <w:numId w:val="3"/>
        </w:numPr>
        <w:jc w:val="both"/>
        <w:rPr>
          <w:sz w:val="24"/>
          <w:szCs w:val="24"/>
        </w:rPr>
      </w:pPr>
      <w:r>
        <w:rPr>
          <w:sz w:val="24"/>
          <w:szCs w:val="24"/>
        </w:rPr>
        <w:t>h</w:t>
      </w:r>
      <w:r w:rsidR="00E75060" w:rsidRPr="001F667D">
        <w:rPr>
          <w:sz w:val="24"/>
          <w:szCs w:val="24"/>
        </w:rPr>
        <w:t>armful means to an end</w:t>
      </w:r>
    </w:p>
    <w:p w:rsidR="00E75060" w:rsidRPr="001F667D" w:rsidRDefault="00B046AB" w:rsidP="001F667D">
      <w:pPr>
        <w:pStyle w:val="ListParagraph"/>
        <w:numPr>
          <w:ilvl w:val="0"/>
          <w:numId w:val="3"/>
        </w:numPr>
        <w:jc w:val="both"/>
        <w:rPr>
          <w:sz w:val="24"/>
          <w:szCs w:val="24"/>
        </w:rPr>
      </w:pPr>
      <w:r>
        <w:rPr>
          <w:sz w:val="24"/>
          <w:szCs w:val="24"/>
        </w:rPr>
        <w:t>h</w:t>
      </w:r>
      <w:r w:rsidR="00E75060" w:rsidRPr="001F667D">
        <w:rPr>
          <w:sz w:val="24"/>
          <w:szCs w:val="24"/>
        </w:rPr>
        <w:t>armful objectives</w:t>
      </w:r>
    </w:p>
    <w:p w:rsidR="00E75060" w:rsidRPr="00102003" w:rsidRDefault="00E75060" w:rsidP="001F667D">
      <w:pPr>
        <w:jc w:val="both"/>
        <w:rPr>
          <w:sz w:val="24"/>
          <w:szCs w:val="24"/>
        </w:rPr>
      </w:pPr>
      <w:r w:rsidRPr="001F667D">
        <w:rPr>
          <w:sz w:val="24"/>
          <w:szCs w:val="24"/>
        </w:rPr>
        <w:t xml:space="preserve">Example indicators that an individual has an </w:t>
      </w:r>
      <w:r w:rsidR="007E7C59" w:rsidRPr="001F667D">
        <w:rPr>
          <w:b/>
          <w:i/>
          <w:sz w:val="24"/>
          <w:szCs w:val="24"/>
        </w:rPr>
        <w:t>intention to use violence</w:t>
      </w:r>
      <w:r w:rsidR="007E7C59" w:rsidRPr="001F667D">
        <w:rPr>
          <w:sz w:val="24"/>
          <w:szCs w:val="24"/>
        </w:rPr>
        <w:t xml:space="preserve"> or other illegal means </w:t>
      </w:r>
      <w:r w:rsidR="007E7C59" w:rsidRPr="00102003">
        <w:rPr>
          <w:sz w:val="24"/>
          <w:szCs w:val="24"/>
        </w:rPr>
        <w:t>include:</w:t>
      </w:r>
    </w:p>
    <w:p w:rsidR="007E7C59" w:rsidRPr="00102003" w:rsidRDefault="00B046AB" w:rsidP="001F667D">
      <w:pPr>
        <w:pStyle w:val="ListParagraph"/>
        <w:numPr>
          <w:ilvl w:val="0"/>
          <w:numId w:val="4"/>
        </w:numPr>
        <w:jc w:val="both"/>
        <w:rPr>
          <w:sz w:val="24"/>
          <w:szCs w:val="24"/>
        </w:rPr>
      </w:pPr>
      <w:r>
        <w:rPr>
          <w:sz w:val="24"/>
          <w:szCs w:val="24"/>
        </w:rPr>
        <w:t>c</w:t>
      </w:r>
      <w:r w:rsidR="007E7C59" w:rsidRPr="00102003">
        <w:rPr>
          <w:sz w:val="24"/>
          <w:szCs w:val="24"/>
        </w:rPr>
        <w:t>learly identifying another group as threatening</w:t>
      </w:r>
      <w:r w:rsidR="00102003" w:rsidRPr="00102003">
        <w:rPr>
          <w:sz w:val="24"/>
          <w:szCs w:val="24"/>
        </w:rPr>
        <w:t>,</w:t>
      </w:r>
      <w:r w:rsidR="007E7C59" w:rsidRPr="00102003">
        <w:rPr>
          <w:sz w:val="24"/>
          <w:szCs w:val="24"/>
        </w:rPr>
        <w:t xml:space="preserve"> in what they st</w:t>
      </w:r>
      <w:r w:rsidR="00102003" w:rsidRPr="00102003">
        <w:rPr>
          <w:sz w:val="24"/>
          <w:szCs w:val="24"/>
        </w:rPr>
        <w:t xml:space="preserve">and for and blaming that group </w:t>
      </w:r>
      <w:r w:rsidR="007E7C59" w:rsidRPr="00102003">
        <w:rPr>
          <w:sz w:val="24"/>
          <w:szCs w:val="24"/>
        </w:rPr>
        <w:t>f</w:t>
      </w:r>
      <w:r w:rsidR="00102003" w:rsidRPr="00102003">
        <w:rPr>
          <w:sz w:val="24"/>
          <w:szCs w:val="24"/>
        </w:rPr>
        <w:t>or</w:t>
      </w:r>
      <w:r w:rsidR="007E7C59" w:rsidRPr="00102003">
        <w:rPr>
          <w:sz w:val="24"/>
          <w:szCs w:val="24"/>
        </w:rPr>
        <w:t xml:space="preserve"> all social or political ills</w:t>
      </w:r>
    </w:p>
    <w:p w:rsidR="007E7C59" w:rsidRPr="001F667D" w:rsidRDefault="00B046AB" w:rsidP="001F667D">
      <w:pPr>
        <w:pStyle w:val="ListParagraph"/>
        <w:numPr>
          <w:ilvl w:val="0"/>
          <w:numId w:val="4"/>
        </w:numPr>
        <w:jc w:val="both"/>
        <w:rPr>
          <w:sz w:val="24"/>
          <w:szCs w:val="24"/>
        </w:rPr>
      </w:pPr>
      <w:r>
        <w:rPr>
          <w:sz w:val="24"/>
          <w:szCs w:val="24"/>
        </w:rPr>
        <w:t>u</w:t>
      </w:r>
      <w:r w:rsidR="007E7C59" w:rsidRPr="001F667D">
        <w:rPr>
          <w:sz w:val="24"/>
          <w:szCs w:val="24"/>
        </w:rPr>
        <w:t>sing insulting or derogatory names or labels for another group</w:t>
      </w:r>
    </w:p>
    <w:p w:rsidR="007E7C59" w:rsidRPr="001F667D" w:rsidRDefault="00B046AB" w:rsidP="001F667D">
      <w:pPr>
        <w:pStyle w:val="ListParagraph"/>
        <w:numPr>
          <w:ilvl w:val="0"/>
          <w:numId w:val="4"/>
        </w:numPr>
        <w:jc w:val="both"/>
        <w:rPr>
          <w:sz w:val="24"/>
          <w:szCs w:val="24"/>
        </w:rPr>
      </w:pPr>
      <w:r>
        <w:rPr>
          <w:sz w:val="24"/>
          <w:szCs w:val="24"/>
        </w:rPr>
        <w:t>s</w:t>
      </w:r>
      <w:r w:rsidR="007E7C59" w:rsidRPr="001F667D">
        <w:rPr>
          <w:sz w:val="24"/>
          <w:szCs w:val="24"/>
        </w:rPr>
        <w:t>peaking about the imminence of harm from the other group and the importance of action how</w:t>
      </w:r>
    </w:p>
    <w:p w:rsidR="007E7C59" w:rsidRPr="001F667D" w:rsidRDefault="00B046AB" w:rsidP="001F667D">
      <w:pPr>
        <w:pStyle w:val="ListParagraph"/>
        <w:numPr>
          <w:ilvl w:val="0"/>
          <w:numId w:val="4"/>
        </w:numPr>
        <w:jc w:val="both"/>
        <w:rPr>
          <w:sz w:val="24"/>
          <w:szCs w:val="24"/>
        </w:rPr>
      </w:pPr>
      <w:r>
        <w:rPr>
          <w:sz w:val="24"/>
          <w:szCs w:val="24"/>
        </w:rPr>
        <w:t>e</w:t>
      </w:r>
      <w:r w:rsidR="007E7C59" w:rsidRPr="001F667D">
        <w:rPr>
          <w:sz w:val="24"/>
          <w:szCs w:val="24"/>
        </w:rPr>
        <w:t>xpressing attitudes that justify offending on behalf of the group, cause or ideology</w:t>
      </w:r>
    </w:p>
    <w:p w:rsidR="007E7C59" w:rsidRPr="001F667D" w:rsidRDefault="00B046AB" w:rsidP="001F667D">
      <w:pPr>
        <w:pStyle w:val="ListParagraph"/>
        <w:numPr>
          <w:ilvl w:val="0"/>
          <w:numId w:val="4"/>
        </w:numPr>
        <w:jc w:val="both"/>
        <w:rPr>
          <w:sz w:val="24"/>
          <w:szCs w:val="24"/>
        </w:rPr>
      </w:pPr>
      <w:r>
        <w:rPr>
          <w:sz w:val="24"/>
          <w:szCs w:val="24"/>
        </w:rPr>
        <w:lastRenderedPageBreak/>
        <w:t>c</w:t>
      </w:r>
      <w:r w:rsidR="007E7C59" w:rsidRPr="001F667D">
        <w:rPr>
          <w:sz w:val="24"/>
          <w:szCs w:val="24"/>
        </w:rPr>
        <w:t>ondoning or supporting violence or harm towards others</w:t>
      </w:r>
    </w:p>
    <w:p w:rsidR="007E7C59" w:rsidRPr="001F667D" w:rsidRDefault="00B046AB" w:rsidP="001F667D">
      <w:pPr>
        <w:pStyle w:val="ListParagraph"/>
        <w:numPr>
          <w:ilvl w:val="0"/>
          <w:numId w:val="4"/>
        </w:numPr>
        <w:jc w:val="both"/>
        <w:rPr>
          <w:sz w:val="24"/>
          <w:szCs w:val="24"/>
        </w:rPr>
      </w:pPr>
      <w:proofErr w:type="gramStart"/>
      <w:r>
        <w:rPr>
          <w:sz w:val="24"/>
          <w:szCs w:val="24"/>
        </w:rPr>
        <w:t>p</w:t>
      </w:r>
      <w:r w:rsidR="007E7C59" w:rsidRPr="001F667D">
        <w:rPr>
          <w:sz w:val="24"/>
          <w:szCs w:val="24"/>
        </w:rPr>
        <w:t>lotting</w:t>
      </w:r>
      <w:proofErr w:type="gramEnd"/>
      <w:r w:rsidR="007E7C59" w:rsidRPr="001F667D">
        <w:rPr>
          <w:sz w:val="24"/>
          <w:szCs w:val="24"/>
        </w:rPr>
        <w:t xml:space="preserve"> or conspiring with others.</w:t>
      </w:r>
    </w:p>
    <w:p w:rsidR="007E7C59" w:rsidRPr="001F667D" w:rsidRDefault="007E7C59" w:rsidP="001F667D">
      <w:pPr>
        <w:jc w:val="both"/>
        <w:rPr>
          <w:sz w:val="24"/>
          <w:szCs w:val="24"/>
        </w:rPr>
      </w:pPr>
      <w:r w:rsidRPr="001F667D">
        <w:rPr>
          <w:b/>
          <w:sz w:val="24"/>
          <w:szCs w:val="24"/>
        </w:rPr>
        <w:t xml:space="preserve">Capability to cause harm: </w:t>
      </w:r>
      <w:r w:rsidRPr="001F667D">
        <w:rPr>
          <w:sz w:val="24"/>
          <w:szCs w:val="24"/>
        </w:rPr>
        <w:t>Not all those who have a wish to cause harm on behalf of a group, cause or ideology are capable of doing so, and plots to cause widespread damage take a high level of personal capability, resources and networking to be successful. What the individual is capable of is therefore a key consideration when assessing risk of harm to the public.</w:t>
      </w:r>
    </w:p>
    <w:p w:rsidR="007E7C59" w:rsidRPr="001F667D" w:rsidRDefault="007E7C59" w:rsidP="001F667D">
      <w:pPr>
        <w:jc w:val="both"/>
        <w:rPr>
          <w:sz w:val="24"/>
          <w:szCs w:val="24"/>
        </w:rPr>
      </w:pPr>
      <w:r w:rsidRPr="001F667D">
        <w:rPr>
          <w:sz w:val="24"/>
          <w:szCs w:val="24"/>
        </w:rPr>
        <w:t>Example indicators that an individual is capable of directly or indirectly causing harm include:</w:t>
      </w:r>
    </w:p>
    <w:p w:rsidR="007E7C59" w:rsidRPr="001F667D" w:rsidRDefault="00B046AB" w:rsidP="001F667D">
      <w:pPr>
        <w:pStyle w:val="ListParagraph"/>
        <w:numPr>
          <w:ilvl w:val="0"/>
          <w:numId w:val="5"/>
        </w:numPr>
        <w:jc w:val="both"/>
        <w:rPr>
          <w:sz w:val="24"/>
          <w:szCs w:val="24"/>
        </w:rPr>
      </w:pPr>
      <w:r>
        <w:rPr>
          <w:sz w:val="24"/>
          <w:szCs w:val="24"/>
        </w:rPr>
        <w:t>h</w:t>
      </w:r>
      <w:r w:rsidR="00E04AC3" w:rsidRPr="001F667D">
        <w:rPr>
          <w:sz w:val="24"/>
          <w:szCs w:val="24"/>
        </w:rPr>
        <w:t>aving a history of violence</w:t>
      </w:r>
    </w:p>
    <w:p w:rsidR="00E04AC3" w:rsidRPr="001F667D" w:rsidRDefault="00B046AB" w:rsidP="001F667D">
      <w:pPr>
        <w:pStyle w:val="ListParagraph"/>
        <w:numPr>
          <w:ilvl w:val="0"/>
          <w:numId w:val="5"/>
        </w:numPr>
        <w:jc w:val="both"/>
        <w:rPr>
          <w:sz w:val="24"/>
          <w:szCs w:val="24"/>
        </w:rPr>
      </w:pPr>
      <w:r>
        <w:rPr>
          <w:sz w:val="24"/>
          <w:szCs w:val="24"/>
        </w:rPr>
        <w:t>b</w:t>
      </w:r>
      <w:r w:rsidR="00E04AC3" w:rsidRPr="001F667D">
        <w:rPr>
          <w:sz w:val="24"/>
          <w:szCs w:val="24"/>
        </w:rPr>
        <w:t>eing criminally versatile and using criminal networks to support extremist goals</w:t>
      </w:r>
    </w:p>
    <w:p w:rsidR="00E04AC3" w:rsidRPr="001F667D" w:rsidRDefault="00B046AB" w:rsidP="001F667D">
      <w:pPr>
        <w:pStyle w:val="ListParagraph"/>
        <w:numPr>
          <w:ilvl w:val="0"/>
          <w:numId w:val="5"/>
        </w:numPr>
        <w:jc w:val="both"/>
        <w:rPr>
          <w:sz w:val="24"/>
          <w:szCs w:val="24"/>
        </w:rPr>
      </w:pPr>
      <w:r>
        <w:rPr>
          <w:sz w:val="24"/>
          <w:szCs w:val="24"/>
        </w:rPr>
        <w:t>h</w:t>
      </w:r>
      <w:r w:rsidR="00E04AC3" w:rsidRPr="001F667D">
        <w:rPr>
          <w:sz w:val="24"/>
          <w:szCs w:val="24"/>
        </w:rPr>
        <w:t>aving occupational skills that can enable acts of terrorism (such as civil engineering, pharmacology or construction)</w:t>
      </w:r>
    </w:p>
    <w:p w:rsidR="00E04AC3" w:rsidRPr="001F667D" w:rsidRDefault="00B046AB" w:rsidP="001F667D">
      <w:pPr>
        <w:pStyle w:val="ListParagraph"/>
        <w:numPr>
          <w:ilvl w:val="0"/>
          <w:numId w:val="5"/>
        </w:numPr>
        <w:jc w:val="both"/>
        <w:rPr>
          <w:sz w:val="24"/>
          <w:szCs w:val="24"/>
        </w:rPr>
      </w:pPr>
      <w:r>
        <w:rPr>
          <w:sz w:val="24"/>
          <w:szCs w:val="24"/>
        </w:rPr>
        <w:t>h</w:t>
      </w:r>
      <w:r w:rsidR="00E04AC3" w:rsidRPr="001F667D">
        <w:rPr>
          <w:sz w:val="24"/>
          <w:szCs w:val="24"/>
        </w:rPr>
        <w:t>aving technical expertise that can be deployed (e.g. IT skills, knowledge of chemicals, military training or survival skills)</w:t>
      </w:r>
    </w:p>
    <w:p w:rsidR="00E04AC3" w:rsidRPr="001F667D" w:rsidRDefault="00E04AC3" w:rsidP="001F667D">
      <w:pPr>
        <w:jc w:val="both"/>
        <w:rPr>
          <w:sz w:val="24"/>
          <w:szCs w:val="24"/>
        </w:rPr>
      </w:pPr>
      <w:r w:rsidRPr="001F667D">
        <w:rPr>
          <w:sz w:val="24"/>
          <w:szCs w:val="24"/>
        </w:rPr>
        <w:t xml:space="preserve">Warning signs and indicators that radicalisation may be about to take place, and/or contact with extremist groups have already taken place, can be found on the Safeguarding section of </w:t>
      </w:r>
      <w:r w:rsidR="00025679">
        <w:rPr>
          <w:sz w:val="24"/>
          <w:szCs w:val="24"/>
        </w:rPr>
        <w:t>the VLE</w:t>
      </w:r>
      <w:r w:rsidRPr="001F667D">
        <w:rPr>
          <w:sz w:val="24"/>
          <w:szCs w:val="24"/>
        </w:rPr>
        <w:t>.</w:t>
      </w:r>
    </w:p>
    <w:p w:rsidR="001F667D" w:rsidRPr="001F667D" w:rsidRDefault="001F667D" w:rsidP="001F667D">
      <w:pPr>
        <w:pStyle w:val="Default"/>
        <w:jc w:val="both"/>
        <w:rPr>
          <w:rFonts w:asciiTheme="minorHAnsi" w:hAnsiTheme="minorHAnsi"/>
        </w:rPr>
      </w:pPr>
      <w:r w:rsidRPr="001F667D">
        <w:rPr>
          <w:rFonts w:asciiTheme="minorHAnsi" w:hAnsiTheme="minorHAnsi"/>
        </w:rPr>
        <w:t xml:space="preserve">The Department has published advice for schools on the </w:t>
      </w:r>
      <w:r w:rsidR="00B83AAC">
        <w:rPr>
          <w:rFonts w:asciiTheme="minorHAnsi" w:hAnsiTheme="minorHAnsi"/>
          <w:b/>
        </w:rPr>
        <w:t>Prevent D</w:t>
      </w:r>
      <w:r w:rsidRPr="00B83AAC">
        <w:rPr>
          <w:rFonts w:asciiTheme="minorHAnsi" w:hAnsiTheme="minorHAnsi"/>
          <w:b/>
        </w:rPr>
        <w:t>uty</w:t>
      </w:r>
      <w:r w:rsidRPr="001F667D">
        <w:rPr>
          <w:rFonts w:asciiTheme="minorHAnsi" w:hAnsiTheme="minorHAnsi"/>
        </w:rPr>
        <w:t xml:space="preserve">. The advice is intended to complement the Prevent guidance and signposts other sources of advice and support. </w:t>
      </w:r>
    </w:p>
    <w:p w:rsidR="00B83AAC" w:rsidRDefault="00B83AAC" w:rsidP="001F667D">
      <w:pPr>
        <w:pStyle w:val="Default"/>
        <w:jc w:val="both"/>
        <w:rPr>
          <w:rFonts w:asciiTheme="minorHAnsi" w:hAnsiTheme="minorHAnsi"/>
        </w:rPr>
      </w:pPr>
    </w:p>
    <w:p w:rsidR="001F667D" w:rsidRPr="001F667D" w:rsidRDefault="001F667D" w:rsidP="001F667D">
      <w:pPr>
        <w:pStyle w:val="Default"/>
        <w:jc w:val="both"/>
        <w:rPr>
          <w:rFonts w:asciiTheme="minorHAnsi" w:hAnsiTheme="minorHAnsi"/>
        </w:rPr>
      </w:pPr>
      <w:r w:rsidRPr="001F667D">
        <w:rPr>
          <w:rFonts w:asciiTheme="minorHAnsi" w:hAnsiTheme="minorHAnsi"/>
        </w:rPr>
        <w:t>Educate Against Hate, a website launched by the Her Majesty’s Government</w:t>
      </w:r>
      <w:r w:rsidR="00B83AAC">
        <w:rPr>
          <w:rFonts w:asciiTheme="minorHAnsi" w:hAnsiTheme="minorHAnsi"/>
        </w:rPr>
        <w:t>,</w:t>
      </w:r>
      <w:r w:rsidRPr="001F667D">
        <w:rPr>
          <w:rFonts w:asciiTheme="minorHAnsi" w:hAnsiTheme="minorHAnsi"/>
        </w:rPr>
        <w:t xml:space="preserve">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rsidR="00612E77" w:rsidRDefault="00612E77" w:rsidP="001F667D">
      <w:pPr>
        <w:pStyle w:val="Default"/>
        <w:jc w:val="both"/>
        <w:rPr>
          <w:rFonts w:asciiTheme="minorHAnsi" w:hAnsiTheme="minorHAnsi"/>
          <w:b/>
          <w:bCs/>
        </w:rPr>
      </w:pPr>
    </w:p>
    <w:p w:rsidR="001F667D" w:rsidRDefault="001F667D" w:rsidP="001F667D">
      <w:pPr>
        <w:pStyle w:val="Default"/>
        <w:jc w:val="both"/>
        <w:rPr>
          <w:rFonts w:asciiTheme="minorHAnsi" w:hAnsiTheme="minorHAnsi"/>
          <w:b/>
          <w:bCs/>
        </w:rPr>
      </w:pPr>
      <w:r w:rsidRPr="001F667D">
        <w:rPr>
          <w:rFonts w:asciiTheme="minorHAnsi" w:hAnsiTheme="minorHAnsi"/>
          <w:b/>
          <w:bCs/>
        </w:rPr>
        <w:t xml:space="preserve">Channel </w:t>
      </w:r>
    </w:p>
    <w:p w:rsidR="008F2678" w:rsidRDefault="008F2678" w:rsidP="008F2678">
      <w:r>
        <w:t>Channel is a voluntary, confidential support programme which focuses on providing support at an early stage to people who are identified as being vulnerable to being drawn</w:t>
      </w:r>
      <w:bookmarkStart w:id="1" w:name="_bookmark139"/>
      <w:bookmarkStart w:id="2" w:name="_bookmark141"/>
      <w:bookmarkEnd w:id="1"/>
      <w:bookmarkEnd w:id="2"/>
      <w:r>
        <w:t xml:space="preserve">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rsidR="008F2678" w:rsidRDefault="008F2678" w:rsidP="008F2678">
      <w:r>
        <w:t xml:space="preserve">Guidance on Channel is available at: </w:t>
      </w:r>
      <w:hyperlink r:id="rId9">
        <w:r>
          <w:rPr>
            <w:color w:val="0000FF"/>
            <w:u w:val="single" w:color="0000FF"/>
          </w:rPr>
          <w:t>Channel guidance</w:t>
        </w:r>
      </w:hyperlink>
      <w:r>
        <w:t>.</w:t>
      </w:r>
    </w:p>
    <w:p w:rsidR="00025679" w:rsidRPr="00025679" w:rsidRDefault="00025679" w:rsidP="00B046AB">
      <w:pPr>
        <w:pStyle w:val="Default"/>
        <w:jc w:val="both"/>
        <w:rPr>
          <w:rFonts w:asciiTheme="minorHAnsi" w:hAnsiTheme="minorHAnsi"/>
          <w:b/>
        </w:rPr>
      </w:pPr>
      <w:bookmarkStart w:id="3" w:name="Additional_support"/>
      <w:bookmarkEnd w:id="3"/>
      <w:r w:rsidRPr="00025679">
        <w:rPr>
          <w:rFonts w:asciiTheme="minorHAnsi" w:hAnsiTheme="minorHAnsi"/>
          <w:b/>
        </w:rPr>
        <w:t>Training</w:t>
      </w:r>
    </w:p>
    <w:p w:rsidR="00025679" w:rsidRDefault="00025679" w:rsidP="00B046AB">
      <w:pPr>
        <w:pStyle w:val="Default"/>
        <w:jc w:val="both"/>
        <w:rPr>
          <w:rFonts w:asciiTheme="minorHAnsi" w:hAnsiTheme="minorHAnsi"/>
        </w:rPr>
      </w:pPr>
    </w:p>
    <w:p w:rsidR="00B046AB" w:rsidRDefault="00025679" w:rsidP="00B046AB">
      <w:pPr>
        <w:pStyle w:val="Default"/>
        <w:jc w:val="both"/>
        <w:rPr>
          <w:rFonts w:asciiTheme="minorHAnsi" w:hAnsiTheme="minorHAnsi"/>
        </w:rPr>
      </w:pPr>
      <w:r>
        <w:rPr>
          <w:rFonts w:asciiTheme="minorHAnsi" w:hAnsiTheme="minorHAnsi"/>
        </w:rPr>
        <w:t>Free t</w:t>
      </w:r>
      <w:r w:rsidR="00677A42">
        <w:rPr>
          <w:rFonts w:asciiTheme="minorHAnsi" w:hAnsiTheme="minorHAnsi"/>
        </w:rPr>
        <w:t xml:space="preserve">raining is offered to Stowe Staff </w:t>
      </w:r>
      <w:r>
        <w:rPr>
          <w:rFonts w:asciiTheme="minorHAnsi" w:hAnsiTheme="minorHAnsi"/>
        </w:rPr>
        <w:t>via</w:t>
      </w:r>
      <w:r w:rsidR="00677A42">
        <w:rPr>
          <w:rFonts w:asciiTheme="minorHAnsi" w:hAnsiTheme="minorHAnsi"/>
        </w:rPr>
        <w:t xml:space="preserve"> the Educare Programme – Prevent (October 2018) and all new staff ar</w:t>
      </w:r>
      <w:r>
        <w:rPr>
          <w:rFonts w:asciiTheme="minorHAnsi" w:hAnsiTheme="minorHAnsi"/>
        </w:rPr>
        <w:t>e required to complete and pass it befor</w:t>
      </w:r>
      <w:r w:rsidR="00677A42">
        <w:rPr>
          <w:rFonts w:asciiTheme="minorHAnsi" w:hAnsiTheme="minorHAnsi"/>
        </w:rPr>
        <w:t xml:space="preserve">e the first Exeat of the Michaelmas term. </w:t>
      </w:r>
    </w:p>
    <w:p w:rsidR="00677A42" w:rsidRPr="001F667D" w:rsidRDefault="00677A42" w:rsidP="00B046AB">
      <w:pPr>
        <w:pStyle w:val="Default"/>
        <w:jc w:val="both"/>
        <w:rPr>
          <w:rFonts w:asciiTheme="minorHAnsi" w:hAnsiTheme="minorHAnsi"/>
        </w:rPr>
      </w:pPr>
    </w:p>
    <w:p w:rsidR="001F667D" w:rsidRDefault="00102003" w:rsidP="00025679">
      <w:pPr>
        <w:jc w:val="both"/>
        <w:rPr>
          <w:rFonts w:ascii="Calibri" w:hAnsi="Calibri"/>
        </w:rPr>
      </w:pPr>
      <w:r>
        <w:t>The S</w:t>
      </w:r>
      <w:r w:rsidR="001F667D" w:rsidRPr="001F667D">
        <w:t>chool’s Designated Safeguarding Lead</w:t>
      </w:r>
      <w:r w:rsidR="00B83AAC">
        <w:t xml:space="preserve"> </w:t>
      </w:r>
      <w:r w:rsidR="001F667D" w:rsidRPr="001F667D">
        <w:t>(and any deputies)</w:t>
      </w:r>
      <w:r w:rsidR="00B83AAC">
        <w:t xml:space="preserve"> </w:t>
      </w:r>
      <w:r w:rsidR="001F667D" w:rsidRPr="001F667D">
        <w:t xml:space="preserve">should be </w:t>
      </w:r>
      <w:r w:rsidR="00B83AAC">
        <w:t>a</w:t>
      </w:r>
      <w:r w:rsidR="00B046AB">
        <w:t xml:space="preserve">ware of </w:t>
      </w:r>
      <w:r w:rsidR="001F667D" w:rsidRPr="001F667D">
        <w:t>local procedures for</w:t>
      </w:r>
      <w:r w:rsidR="00B83AAC">
        <w:t xml:space="preserve"> </w:t>
      </w:r>
      <w:r w:rsidR="001F667D" w:rsidRPr="001F667D">
        <w:t>making a Channel referral. As a Channel partner,</w:t>
      </w:r>
      <w:r w:rsidR="00B83AAC">
        <w:t xml:space="preserve"> </w:t>
      </w:r>
      <w:r>
        <w:t xml:space="preserve">the School </w:t>
      </w:r>
      <w:r w:rsidR="001F667D" w:rsidRPr="001F667D">
        <w:t xml:space="preserve">may be asked to attend a Channel panel to discuss </w:t>
      </w:r>
      <w:r w:rsidR="001F667D" w:rsidRPr="00B83AAC">
        <w:rPr>
          <w:rFonts w:ascii="Calibri" w:hAnsi="Calibri"/>
        </w:rPr>
        <w:t>the individual</w:t>
      </w:r>
      <w:r w:rsidR="00B83AAC" w:rsidRPr="00B83AAC">
        <w:rPr>
          <w:rFonts w:ascii="Calibri" w:hAnsi="Calibri"/>
        </w:rPr>
        <w:t xml:space="preserve"> </w:t>
      </w:r>
      <w:r w:rsidR="001F667D" w:rsidRPr="00B83AAC">
        <w:rPr>
          <w:rFonts w:ascii="Calibri" w:hAnsi="Calibri"/>
        </w:rPr>
        <w:t>referred to determine whether they are vulnerable to being drawn into terrorism and consider the appropriate support required.</w:t>
      </w:r>
      <w:r w:rsidR="008F2678">
        <w:rPr>
          <w:rFonts w:ascii="Calibri" w:hAnsi="Calibri"/>
        </w:rPr>
        <w:t xml:space="preserve"> If this is the case the member of staff attending the conference will conduct training prior to attendance. </w:t>
      </w:r>
    </w:p>
    <w:p w:rsidR="008F2678" w:rsidRDefault="008F2678" w:rsidP="00025679">
      <w:pPr>
        <w:jc w:val="both"/>
        <w:rPr>
          <w:rFonts w:ascii="Calibri" w:hAnsi="Calibri"/>
          <w:b/>
        </w:rPr>
      </w:pPr>
      <w:r w:rsidRPr="008F2678">
        <w:rPr>
          <w:rFonts w:ascii="Calibri" w:hAnsi="Calibri"/>
          <w:b/>
        </w:rPr>
        <w:t>Further Information</w:t>
      </w:r>
    </w:p>
    <w:p w:rsidR="008F2678" w:rsidRPr="008F2678" w:rsidRDefault="00635821" w:rsidP="008F2678">
      <w:pPr>
        <w:rPr>
          <w:i/>
        </w:rPr>
      </w:pPr>
      <w:hyperlink r:id="rId10">
        <w:r w:rsidR="008F2678">
          <w:rPr>
            <w:color w:val="0000FF"/>
            <w:sz w:val="24"/>
            <w:u w:val="single" w:color="0000FF"/>
          </w:rPr>
          <w:t>Prevent duty guidance</w:t>
        </w:r>
      </w:hyperlink>
      <w:r w:rsidR="008F2678">
        <w:rPr>
          <w:sz w:val="24"/>
        </w:rPr>
        <w:t>- Home Office</w:t>
      </w:r>
      <w:r w:rsidR="008F2678">
        <w:rPr>
          <w:spacing w:val="-7"/>
          <w:sz w:val="24"/>
        </w:rPr>
        <w:t xml:space="preserve"> </w:t>
      </w:r>
      <w:r w:rsidR="008F2678">
        <w:rPr>
          <w:sz w:val="24"/>
        </w:rPr>
        <w:t xml:space="preserve">guidance. </w:t>
      </w:r>
      <w:r w:rsidR="008F2678">
        <w:t>The Home Office has developed three e-learning modules:</w:t>
      </w:r>
    </w:p>
    <w:p w:rsidR="008F2678" w:rsidRPr="008F2678" w:rsidRDefault="00635821" w:rsidP="008F2678">
      <w:pPr>
        <w:pStyle w:val="ListParagraph"/>
        <w:numPr>
          <w:ilvl w:val="0"/>
          <w:numId w:val="6"/>
        </w:numPr>
        <w:rPr>
          <w:rFonts w:ascii="Symbol" w:hAnsi="Symbol"/>
          <w:i/>
          <w:color w:val="0D0D0D"/>
          <w:sz w:val="24"/>
        </w:rPr>
      </w:pPr>
      <w:hyperlink r:id="rId11">
        <w:r w:rsidR="008F2678" w:rsidRPr="008F2678">
          <w:rPr>
            <w:i/>
            <w:color w:val="0000FF"/>
            <w:sz w:val="24"/>
            <w:u w:val="single" w:color="0000FF"/>
          </w:rPr>
          <w:t>Prevent awareness e-learning</w:t>
        </w:r>
        <w:r w:rsidR="008F2678" w:rsidRPr="008F2678">
          <w:rPr>
            <w:i/>
            <w:color w:val="0000FF"/>
            <w:sz w:val="24"/>
          </w:rPr>
          <w:t xml:space="preserve"> </w:t>
        </w:r>
      </w:hyperlink>
      <w:r w:rsidR="008F2678" w:rsidRPr="008F2678">
        <w:rPr>
          <w:i/>
          <w:sz w:val="24"/>
        </w:rPr>
        <w:t>offers an introduction to the Prevent</w:t>
      </w:r>
      <w:r w:rsidR="008F2678" w:rsidRPr="008F2678">
        <w:rPr>
          <w:i/>
          <w:spacing w:val="-15"/>
          <w:sz w:val="24"/>
        </w:rPr>
        <w:t xml:space="preserve"> </w:t>
      </w:r>
      <w:r w:rsidR="008F2678" w:rsidRPr="008F2678">
        <w:rPr>
          <w:i/>
          <w:sz w:val="24"/>
        </w:rPr>
        <w:t>duty.</w:t>
      </w:r>
    </w:p>
    <w:p w:rsidR="008F2678" w:rsidRPr="008F2678" w:rsidRDefault="00635821" w:rsidP="008F2678">
      <w:pPr>
        <w:pStyle w:val="ListParagraph"/>
        <w:numPr>
          <w:ilvl w:val="0"/>
          <w:numId w:val="6"/>
        </w:numPr>
        <w:rPr>
          <w:rFonts w:ascii="Symbol" w:hAnsi="Symbol"/>
          <w:i/>
          <w:color w:val="0D0D0D"/>
          <w:sz w:val="24"/>
        </w:rPr>
      </w:pPr>
      <w:hyperlink r:id="rId12">
        <w:r w:rsidR="008F2678" w:rsidRPr="008F2678">
          <w:rPr>
            <w:i/>
            <w:color w:val="0000FF"/>
            <w:sz w:val="24"/>
            <w:u w:val="single" w:color="0000FF"/>
          </w:rPr>
          <w:t>Prevent referrals e-learning</w:t>
        </w:r>
        <w:r w:rsidR="008F2678" w:rsidRPr="008F2678">
          <w:rPr>
            <w:i/>
            <w:color w:val="0000FF"/>
            <w:sz w:val="24"/>
          </w:rPr>
          <w:t xml:space="preserve"> </w:t>
        </w:r>
      </w:hyperlink>
      <w:r w:rsidR="008F2678" w:rsidRPr="008F2678">
        <w:rPr>
          <w:i/>
          <w:sz w:val="24"/>
        </w:rPr>
        <w:t>supports staff to make Prevent referrals that</w:t>
      </w:r>
      <w:r w:rsidR="008F2678" w:rsidRPr="008F2678">
        <w:rPr>
          <w:i/>
          <w:spacing w:val="-16"/>
          <w:sz w:val="24"/>
        </w:rPr>
        <w:t xml:space="preserve"> </w:t>
      </w:r>
      <w:r w:rsidR="008F2678" w:rsidRPr="008F2678">
        <w:rPr>
          <w:i/>
          <w:sz w:val="24"/>
        </w:rPr>
        <w:t>are</w:t>
      </w:r>
    </w:p>
    <w:p w:rsidR="008F2678" w:rsidRPr="008F2678" w:rsidRDefault="008F2678" w:rsidP="008F2678">
      <w:pPr>
        <w:pStyle w:val="ListParagraph"/>
        <w:numPr>
          <w:ilvl w:val="0"/>
          <w:numId w:val="6"/>
        </w:numPr>
        <w:rPr>
          <w:i/>
          <w:sz w:val="24"/>
        </w:rPr>
      </w:pPr>
      <w:proofErr w:type="gramStart"/>
      <w:r w:rsidRPr="008F2678">
        <w:rPr>
          <w:b/>
          <w:i/>
          <w:sz w:val="24"/>
        </w:rPr>
        <w:t>robust</w:t>
      </w:r>
      <w:proofErr w:type="gramEnd"/>
      <w:r w:rsidRPr="008F2678">
        <w:rPr>
          <w:b/>
          <w:i/>
          <w:sz w:val="24"/>
        </w:rPr>
        <w:t xml:space="preserve">, informed </w:t>
      </w:r>
      <w:r w:rsidRPr="008F2678">
        <w:rPr>
          <w:i/>
          <w:sz w:val="24"/>
        </w:rPr>
        <w:t xml:space="preserve">and with </w:t>
      </w:r>
      <w:r w:rsidRPr="008F2678">
        <w:rPr>
          <w:b/>
          <w:i/>
          <w:sz w:val="24"/>
        </w:rPr>
        <w:t>good intention</w:t>
      </w:r>
      <w:r w:rsidRPr="008F2678">
        <w:rPr>
          <w:i/>
          <w:sz w:val="24"/>
        </w:rPr>
        <w:t>.</w:t>
      </w:r>
    </w:p>
    <w:p w:rsidR="008F2678" w:rsidRPr="008F2678" w:rsidRDefault="00635821" w:rsidP="008F2678">
      <w:pPr>
        <w:pStyle w:val="ListParagraph"/>
        <w:numPr>
          <w:ilvl w:val="0"/>
          <w:numId w:val="6"/>
        </w:numPr>
        <w:rPr>
          <w:rFonts w:ascii="Symbol" w:hAnsi="Symbol"/>
          <w:i/>
          <w:color w:val="0D0D0D"/>
          <w:sz w:val="24"/>
        </w:rPr>
      </w:pPr>
      <w:hyperlink r:id="rId13">
        <w:r w:rsidR="008F2678" w:rsidRPr="008F2678">
          <w:rPr>
            <w:i/>
            <w:color w:val="0000FF"/>
            <w:sz w:val="24"/>
            <w:u w:val="single" w:color="0000FF"/>
          </w:rPr>
          <w:t>Channel awareness e-learning</w:t>
        </w:r>
        <w:r w:rsidR="008F2678" w:rsidRPr="008F2678">
          <w:rPr>
            <w:i/>
            <w:color w:val="0000FF"/>
            <w:sz w:val="24"/>
          </w:rPr>
          <w:t xml:space="preserve"> </w:t>
        </w:r>
      </w:hyperlink>
      <w:r w:rsidR="008F2678" w:rsidRPr="008F2678">
        <w:rPr>
          <w:i/>
          <w:sz w:val="24"/>
        </w:rPr>
        <w:t>is aimed at staff who may be asked to contribute to or sit on a multi-agency Channel</w:t>
      </w:r>
      <w:r w:rsidR="008F2678" w:rsidRPr="008F2678">
        <w:rPr>
          <w:i/>
          <w:spacing w:val="-4"/>
          <w:sz w:val="24"/>
        </w:rPr>
        <w:t xml:space="preserve"> </w:t>
      </w:r>
      <w:r w:rsidR="008F2678" w:rsidRPr="008F2678">
        <w:rPr>
          <w:i/>
          <w:sz w:val="24"/>
        </w:rPr>
        <w:t>panel.</w:t>
      </w:r>
    </w:p>
    <w:p w:rsidR="008F2678" w:rsidRDefault="00635821" w:rsidP="008F2678">
      <w:pPr>
        <w:pStyle w:val="ListParagraph"/>
        <w:numPr>
          <w:ilvl w:val="0"/>
          <w:numId w:val="6"/>
        </w:numPr>
        <w:rPr>
          <w:i/>
        </w:rPr>
      </w:pPr>
      <w:hyperlink r:id="rId14">
        <w:r w:rsidR="008F2678" w:rsidRPr="008F2678">
          <w:rPr>
            <w:i/>
            <w:color w:val="0000FF"/>
            <w:u w:val="single" w:color="0000FF"/>
          </w:rPr>
          <w:t xml:space="preserve">Educate </w:t>
        </w:r>
        <w:proofErr w:type="gramStart"/>
        <w:r w:rsidR="008F2678" w:rsidRPr="008F2678">
          <w:rPr>
            <w:i/>
            <w:color w:val="0000FF"/>
            <w:u w:val="single" w:color="0000FF"/>
          </w:rPr>
          <w:t>Against</w:t>
        </w:r>
        <w:proofErr w:type="gramEnd"/>
        <w:r w:rsidR="008F2678" w:rsidRPr="008F2678">
          <w:rPr>
            <w:i/>
            <w:color w:val="0000FF"/>
            <w:u w:val="single" w:color="0000FF"/>
          </w:rPr>
          <w:t xml:space="preserve"> Hate</w:t>
        </w:r>
      </w:hyperlink>
      <w:hyperlink r:id="rId15">
        <w:r w:rsidR="008F2678" w:rsidRPr="008F2678">
          <w:rPr>
            <w:i/>
          </w:rPr>
          <w:t xml:space="preserve">, </w:t>
        </w:r>
      </w:hyperlink>
      <w:r w:rsidR="008F2678" w:rsidRPr="008F2678">
        <w:rPr>
          <w:i/>
        </w:rPr>
        <w:t>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w:t>
      </w:r>
    </w:p>
    <w:p w:rsidR="008F2678" w:rsidRPr="008F2678" w:rsidRDefault="008F2678" w:rsidP="008F2678">
      <w:pPr>
        <w:pStyle w:val="ListParagraph"/>
        <w:ind w:left="1112"/>
        <w:rPr>
          <w:i/>
        </w:rPr>
      </w:pPr>
    </w:p>
    <w:p w:rsidR="008F2678" w:rsidRDefault="00635821" w:rsidP="008F2678">
      <w:pPr>
        <w:pStyle w:val="ListParagraph"/>
        <w:widowControl w:val="0"/>
        <w:numPr>
          <w:ilvl w:val="0"/>
          <w:numId w:val="6"/>
        </w:numPr>
        <w:tabs>
          <w:tab w:val="left" w:pos="1112"/>
          <w:tab w:val="left" w:pos="1113"/>
        </w:tabs>
        <w:autoSpaceDE w:val="0"/>
        <w:autoSpaceDN w:val="0"/>
        <w:spacing w:before="171" w:after="0" w:line="240" w:lineRule="auto"/>
        <w:ind w:hanging="361"/>
        <w:contextualSpacing w:val="0"/>
        <w:rPr>
          <w:rFonts w:ascii="Symbol" w:hAnsi="Symbol"/>
          <w:color w:val="0D0D0D"/>
          <w:sz w:val="24"/>
        </w:rPr>
      </w:pPr>
      <w:hyperlink r:id="rId16">
        <w:r w:rsidR="008F2678">
          <w:rPr>
            <w:color w:val="0000FF"/>
            <w:sz w:val="24"/>
            <w:u w:val="single" w:color="0000FF"/>
          </w:rPr>
          <w:t>Prevent duty: additional advice for schools</w:t>
        </w:r>
        <w:r w:rsidR="008F2678">
          <w:rPr>
            <w:color w:val="0000FF"/>
            <w:sz w:val="24"/>
          </w:rPr>
          <w:t xml:space="preserve"> </w:t>
        </w:r>
      </w:hyperlink>
      <w:r w:rsidR="008F2678">
        <w:rPr>
          <w:sz w:val="24"/>
        </w:rPr>
        <w:t xml:space="preserve">and childcare providers - </w:t>
      </w:r>
      <w:proofErr w:type="spellStart"/>
      <w:r w:rsidR="008F2678">
        <w:rPr>
          <w:sz w:val="24"/>
        </w:rPr>
        <w:t>DfE</w:t>
      </w:r>
      <w:proofErr w:type="spellEnd"/>
      <w:r w:rsidR="008F2678">
        <w:rPr>
          <w:spacing w:val="-17"/>
          <w:sz w:val="24"/>
        </w:rPr>
        <w:t xml:space="preserve"> </w:t>
      </w:r>
      <w:r w:rsidR="008F2678">
        <w:rPr>
          <w:sz w:val="24"/>
        </w:rPr>
        <w:t>advice</w:t>
      </w:r>
    </w:p>
    <w:p w:rsidR="008F2678" w:rsidRDefault="00635821" w:rsidP="008F2678">
      <w:pPr>
        <w:pStyle w:val="ListParagraph"/>
        <w:widowControl w:val="0"/>
        <w:numPr>
          <w:ilvl w:val="0"/>
          <w:numId w:val="6"/>
        </w:numPr>
        <w:tabs>
          <w:tab w:val="left" w:pos="1112"/>
          <w:tab w:val="left" w:pos="1113"/>
        </w:tabs>
        <w:autoSpaceDE w:val="0"/>
        <w:autoSpaceDN w:val="0"/>
        <w:spacing w:before="174" w:after="0" w:line="240" w:lineRule="auto"/>
        <w:ind w:hanging="361"/>
        <w:contextualSpacing w:val="0"/>
        <w:rPr>
          <w:rFonts w:ascii="Symbol" w:hAnsi="Symbol"/>
          <w:color w:val="0D0D0D"/>
          <w:sz w:val="24"/>
        </w:rPr>
      </w:pPr>
      <w:hyperlink r:id="rId17">
        <w:r w:rsidR="008F2678">
          <w:rPr>
            <w:color w:val="0000FF"/>
            <w:sz w:val="24"/>
            <w:u w:val="single" w:color="0000FF"/>
          </w:rPr>
          <w:t>Educate Against Hate website</w:t>
        </w:r>
      </w:hyperlink>
      <w:r w:rsidR="008F2678">
        <w:rPr>
          <w:color w:val="0000FF"/>
          <w:sz w:val="24"/>
        </w:rPr>
        <w:t xml:space="preserve"> </w:t>
      </w:r>
      <w:r w:rsidR="008F2678">
        <w:rPr>
          <w:sz w:val="24"/>
        </w:rPr>
        <w:t xml:space="preserve">- </w:t>
      </w:r>
      <w:proofErr w:type="spellStart"/>
      <w:r w:rsidR="008F2678">
        <w:rPr>
          <w:sz w:val="24"/>
        </w:rPr>
        <w:t>DfE</w:t>
      </w:r>
      <w:proofErr w:type="spellEnd"/>
      <w:r w:rsidR="008F2678">
        <w:rPr>
          <w:sz w:val="24"/>
        </w:rPr>
        <w:t xml:space="preserve"> and Home Office</w:t>
      </w:r>
      <w:r w:rsidR="008F2678">
        <w:rPr>
          <w:spacing w:val="-3"/>
          <w:sz w:val="24"/>
        </w:rPr>
        <w:t xml:space="preserve"> </w:t>
      </w:r>
      <w:r w:rsidR="008F2678">
        <w:rPr>
          <w:sz w:val="24"/>
        </w:rPr>
        <w:t>advice</w:t>
      </w:r>
    </w:p>
    <w:p w:rsidR="008F2678" w:rsidRDefault="00635821" w:rsidP="008F2678">
      <w:pPr>
        <w:pStyle w:val="ListParagraph"/>
        <w:numPr>
          <w:ilvl w:val="0"/>
          <w:numId w:val="6"/>
        </w:numPr>
      </w:pPr>
      <w:hyperlink r:id="rId18">
        <w:r w:rsidR="008F2678" w:rsidRPr="008F2678">
          <w:rPr>
            <w:color w:val="0000FF"/>
            <w:sz w:val="24"/>
            <w:u w:val="single" w:color="0000FF"/>
          </w:rPr>
          <w:t>Prevent for FE and Training</w:t>
        </w:r>
        <w:r w:rsidR="008F2678" w:rsidRPr="008F2678">
          <w:rPr>
            <w:color w:val="0000FF"/>
            <w:sz w:val="24"/>
          </w:rPr>
          <w:t xml:space="preserve"> </w:t>
        </w:r>
      </w:hyperlink>
      <w:r w:rsidR="008F2678" w:rsidRPr="008F2678">
        <w:rPr>
          <w:sz w:val="24"/>
        </w:rPr>
        <w:t>- Education and Training Foundation</w:t>
      </w:r>
      <w:r w:rsidR="008F2678" w:rsidRPr="008F2678">
        <w:rPr>
          <w:spacing w:val="-19"/>
          <w:sz w:val="24"/>
        </w:rPr>
        <w:t xml:space="preserve"> </w:t>
      </w:r>
      <w:r w:rsidR="008F2678" w:rsidRPr="008F2678">
        <w:rPr>
          <w:sz w:val="24"/>
        </w:rPr>
        <w:t xml:space="preserve">(ETF). </w:t>
      </w:r>
      <w:r w:rsidR="008F2678">
        <w:t>The ETF Online Learning environment provides online training modules for practitioners, leaders and managers, support staff and governors/Board members outlining their roles and responsibilities under the duty.</w:t>
      </w:r>
    </w:p>
    <w:p w:rsidR="008F2678" w:rsidRDefault="008F2678" w:rsidP="008F2678">
      <w:pPr>
        <w:pStyle w:val="ListParagraph"/>
        <w:widowControl w:val="0"/>
        <w:tabs>
          <w:tab w:val="left" w:pos="1112"/>
          <w:tab w:val="left" w:pos="1113"/>
        </w:tabs>
        <w:autoSpaceDE w:val="0"/>
        <w:autoSpaceDN w:val="0"/>
        <w:spacing w:before="174" w:after="0" w:line="240" w:lineRule="auto"/>
        <w:ind w:left="1112"/>
        <w:contextualSpacing w:val="0"/>
        <w:rPr>
          <w:rFonts w:ascii="Symbol" w:hAnsi="Symbol"/>
          <w:color w:val="0D0D0D"/>
          <w:sz w:val="24"/>
        </w:rPr>
      </w:pPr>
    </w:p>
    <w:p w:rsidR="00102003" w:rsidRDefault="00102003" w:rsidP="00102003">
      <w:pPr>
        <w:pStyle w:val="Default"/>
        <w:spacing w:line="331" w:lineRule="atLeast"/>
        <w:ind w:right="692"/>
        <w:jc w:val="both"/>
        <w:rPr>
          <w:rFonts w:ascii="Calibri" w:hAnsi="Calibri"/>
        </w:rPr>
      </w:pPr>
    </w:p>
    <w:p w:rsidR="00102003" w:rsidRDefault="00BC213E" w:rsidP="00102003">
      <w:pPr>
        <w:pStyle w:val="Default"/>
        <w:spacing w:line="331" w:lineRule="atLeast"/>
        <w:ind w:right="692"/>
        <w:jc w:val="both"/>
        <w:rPr>
          <w:rFonts w:ascii="Calibri" w:hAnsi="Calibri"/>
        </w:rPr>
      </w:pPr>
      <w:r>
        <w:rPr>
          <w:rFonts w:ascii="Calibri" w:hAnsi="Calibri"/>
        </w:rPr>
        <w:t>Michael Rickner</w:t>
      </w:r>
      <w:r w:rsidR="00102003">
        <w:rPr>
          <w:rFonts w:ascii="Calibri" w:hAnsi="Calibri"/>
        </w:rPr>
        <w:t xml:space="preserve"> (DSL)</w:t>
      </w:r>
    </w:p>
    <w:p w:rsidR="00102003" w:rsidRPr="00B83AAC" w:rsidRDefault="009A5021" w:rsidP="00102003">
      <w:pPr>
        <w:pStyle w:val="Default"/>
        <w:spacing w:line="331" w:lineRule="atLeast"/>
        <w:ind w:right="692"/>
        <w:jc w:val="both"/>
        <w:rPr>
          <w:rFonts w:ascii="Calibri" w:hAnsi="Calibri"/>
        </w:rPr>
      </w:pPr>
      <w:r>
        <w:rPr>
          <w:rFonts w:ascii="Calibri" w:hAnsi="Calibri"/>
        </w:rPr>
        <w:t>July 2021</w:t>
      </w:r>
    </w:p>
    <w:p w:rsidR="001F667D" w:rsidRDefault="001F667D" w:rsidP="001F667D">
      <w:pPr>
        <w:pStyle w:val="Default"/>
        <w:jc w:val="both"/>
        <w:rPr>
          <w:sz w:val="23"/>
          <w:szCs w:val="23"/>
        </w:rPr>
      </w:pPr>
    </w:p>
    <w:sectPr w:rsidR="001F667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50" w:rsidRDefault="00801E50" w:rsidP="00E04AC3">
      <w:pPr>
        <w:spacing w:after="0" w:line="240" w:lineRule="auto"/>
      </w:pPr>
      <w:r>
        <w:separator/>
      </w:r>
    </w:p>
  </w:endnote>
  <w:endnote w:type="continuationSeparator" w:id="0">
    <w:p w:rsidR="00801E50" w:rsidRDefault="00801E50" w:rsidP="00E0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C9" w:rsidRDefault="00BC2739" w:rsidP="00841CC9">
    <w:pPr>
      <w:tabs>
        <w:tab w:val="center" w:pos="4153"/>
        <w:tab w:val="right" w:pos="8306"/>
      </w:tabs>
      <w:spacing w:after="0" w:line="240" w:lineRule="auto"/>
      <w:jc w:val="right"/>
      <w:rPr>
        <w:rFonts w:ascii="Calibri" w:eastAsia="Times New Roman" w:hAnsi="Calibri" w:cs="Verdana"/>
        <w:color w:val="A6A6A6"/>
        <w:sz w:val="20"/>
        <w:szCs w:val="20"/>
        <w:lang w:eastAsia="en-GB"/>
      </w:rPr>
    </w:pPr>
    <w:r>
      <w:rPr>
        <w:rFonts w:ascii="Calibri" w:eastAsia="Times New Roman" w:hAnsi="Calibri" w:cs="Verdana"/>
        <w:color w:val="A6A6A6"/>
        <w:sz w:val="20"/>
        <w:szCs w:val="20"/>
        <w:lang w:eastAsia="en-GB"/>
      </w:rPr>
      <w:t>Author: MPR</w:t>
    </w:r>
    <w:r w:rsidR="00AB7415">
      <w:rPr>
        <w:rFonts w:ascii="Calibri" w:eastAsia="Times New Roman" w:hAnsi="Calibri" w:cs="Verdana"/>
        <w:color w:val="A6A6A6"/>
        <w:sz w:val="20"/>
        <w:szCs w:val="20"/>
        <w:lang w:eastAsia="en-GB"/>
      </w:rPr>
      <w:t xml:space="preserve"> </w:t>
    </w:r>
  </w:p>
  <w:p w:rsidR="00AB7415" w:rsidRDefault="00AB7415" w:rsidP="00841CC9">
    <w:pPr>
      <w:tabs>
        <w:tab w:val="center" w:pos="4153"/>
        <w:tab w:val="right" w:pos="8306"/>
      </w:tabs>
      <w:spacing w:after="0" w:line="240" w:lineRule="auto"/>
      <w:jc w:val="right"/>
      <w:rPr>
        <w:rFonts w:ascii="Calibri" w:eastAsia="Times New Roman" w:hAnsi="Calibri" w:cs="Verdana"/>
        <w:color w:val="A6A6A6"/>
        <w:sz w:val="20"/>
        <w:szCs w:val="20"/>
        <w:lang w:eastAsia="en-GB"/>
      </w:rPr>
    </w:pPr>
    <w:r>
      <w:rPr>
        <w:rFonts w:ascii="Calibri" w:eastAsia="Times New Roman" w:hAnsi="Calibri" w:cs="Verdana"/>
        <w:color w:val="A6A6A6"/>
        <w:sz w:val="20"/>
        <w:szCs w:val="20"/>
        <w:lang w:eastAsia="en-GB"/>
      </w:rPr>
      <w:t>Reviewed:</w:t>
    </w:r>
    <w:r w:rsidR="00BC2739">
      <w:rPr>
        <w:rFonts w:ascii="Calibri" w:eastAsia="Times New Roman" w:hAnsi="Calibri" w:cs="Verdana"/>
        <w:color w:val="A6A6A6"/>
        <w:sz w:val="20"/>
        <w:szCs w:val="20"/>
        <w:lang w:eastAsia="en-GB"/>
      </w:rPr>
      <w:t xml:space="preserve"> July 2020</w:t>
    </w:r>
  </w:p>
  <w:p w:rsidR="00AB7415" w:rsidRDefault="00BC2739" w:rsidP="00841CC9">
    <w:pPr>
      <w:tabs>
        <w:tab w:val="center" w:pos="4153"/>
        <w:tab w:val="right" w:pos="8306"/>
      </w:tabs>
      <w:spacing w:after="0" w:line="240" w:lineRule="auto"/>
      <w:jc w:val="right"/>
      <w:rPr>
        <w:rFonts w:ascii="Calibri" w:eastAsia="Times New Roman" w:hAnsi="Calibri" w:cs="Verdana"/>
        <w:color w:val="A6A6A6"/>
        <w:sz w:val="20"/>
        <w:szCs w:val="20"/>
        <w:lang w:eastAsia="en-GB"/>
      </w:rPr>
    </w:pPr>
    <w:r>
      <w:rPr>
        <w:rFonts w:ascii="Calibri" w:eastAsia="Times New Roman" w:hAnsi="Calibri" w:cs="Verdana"/>
        <w:color w:val="A6A6A6"/>
        <w:sz w:val="20"/>
        <w:szCs w:val="20"/>
        <w:lang w:eastAsia="en-GB"/>
      </w:rPr>
      <w:t>Next review: July 2021</w:t>
    </w:r>
  </w:p>
  <w:p w:rsidR="00E04AC3" w:rsidRPr="00AB7415" w:rsidRDefault="00AB7415" w:rsidP="00AB7415">
    <w:pPr>
      <w:tabs>
        <w:tab w:val="center" w:pos="4153"/>
        <w:tab w:val="right" w:pos="8306"/>
      </w:tabs>
      <w:spacing w:after="0" w:line="240" w:lineRule="auto"/>
      <w:jc w:val="right"/>
      <w:rPr>
        <w:rFonts w:ascii="Calibri" w:eastAsia="Times New Roman" w:hAnsi="Calibri" w:cs="Verdana"/>
        <w:color w:val="A6A6A6"/>
        <w:sz w:val="20"/>
        <w:szCs w:val="20"/>
        <w:lang w:eastAsia="en-GB"/>
      </w:rPr>
    </w:pPr>
    <w:r>
      <w:rPr>
        <w:rFonts w:ascii="Calibri" w:eastAsia="Times New Roman" w:hAnsi="Calibri" w:cs="Verdana"/>
        <w:color w:val="A6A6A6"/>
        <w:sz w:val="20"/>
        <w:szCs w:val="20"/>
        <w:lang w:eastAsia="en-GB"/>
      </w:rPr>
      <w:t xml:space="preserve">Approval: Education (Pastoral) Governors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50" w:rsidRDefault="00801E50" w:rsidP="00E04AC3">
      <w:pPr>
        <w:spacing w:after="0" w:line="240" w:lineRule="auto"/>
      </w:pPr>
      <w:r>
        <w:separator/>
      </w:r>
    </w:p>
  </w:footnote>
  <w:footnote w:type="continuationSeparator" w:id="0">
    <w:p w:rsidR="00801E50" w:rsidRDefault="00801E50" w:rsidP="00E04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C3" w:rsidRDefault="00E04AC3" w:rsidP="00E04AC3">
    <w:pPr>
      <w:pStyle w:val="Header"/>
      <w:ind w:left="-284" w:right="-432"/>
      <w:rPr>
        <w:rFonts w:ascii="Calibri" w:eastAsia="Times" w:hAnsi="Calibri" w:cs="Calibri"/>
        <w:b/>
        <w:color w:val="A6A6A6"/>
        <w:sz w:val="24"/>
        <w:szCs w:val="20"/>
        <w:lang w:val="x-none" w:eastAsia="x-none"/>
      </w:rPr>
    </w:pPr>
    <w:r w:rsidRPr="00E04AC3">
      <w:rPr>
        <w:rFonts w:ascii="Calibri" w:eastAsia="Times" w:hAnsi="Calibri" w:cs="Calibri"/>
        <w:noProof/>
        <w:sz w:val="24"/>
        <w:szCs w:val="20"/>
        <w:lang w:eastAsia="en-GB"/>
      </w:rPr>
      <w:drawing>
        <wp:anchor distT="0" distB="0" distL="114300" distR="114300" simplePos="0" relativeHeight="251657216" behindDoc="0" locked="0" layoutInCell="1" allowOverlap="1">
          <wp:simplePos x="0" y="0"/>
          <wp:positionH relativeFrom="margin">
            <wp:align>right</wp:align>
          </wp:positionH>
          <wp:positionV relativeFrom="paragraph">
            <wp:posOffset>-276860</wp:posOffset>
          </wp:positionV>
          <wp:extent cx="810000" cy="734400"/>
          <wp:effectExtent l="0" t="0" r="9525" b="8890"/>
          <wp:wrapSquare wrapText="bothSides"/>
          <wp:docPr id="1" name="Picture 1" descr="Stowe Crest JPE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JPEG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73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AC3">
      <w:rPr>
        <w:rFonts w:ascii="Calibri" w:eastAsia="Times" w:hAnsi="Calibri" w:cs="Calibri"/>
        <w:b/>
        <w:color w:val="A6A6A6"/>
        <w:sz w:val="24"/>
        <w:szCs w:val="20"/>
        <w:lang w:val="x-none" w:eastAsia="x-none"/>
      </w:rPr>
      <w:t>Stowe School</w:t>
    </w:r>
  </w:p>
  <w:p w:rsidR="00E04AC3" w:rsidRPr="0099272C" w:rsidRDefault="00E04AC3" w:rsidP="0099272C">
    <w:pPr>
      <w:tabs>
        <w:tab w:val="center" w:pos="4153"/>
      </w:tabs>
      <w:spacing w:after="0" w:line="240" w:lineRule="auto"/>
      <w:ind w:left="-284"/>
      <w:rPr>
        <w:rFonts w:ascii="Calibri" w:eastAsia="Times" w:hAnsi="Calibri" w:cs="Calibri"/>
        <w:b/>
        <w:color w:val="A6A6A6"/>
        <w:sz w:val="24"/>
        <w:szCs w:val="20"/>
        <w:lang w:eastAsia="x-none"/>
      </w:rPr>
    </w:pPr>
    <w:r>
      <w:rPr>
        <w:rFonts w:ascii="Calibri" w:eastAsia="Times" w:hAnsi="Calibri" w:cs="Calibri"/>
        <w:b/>
        <w:color w:val="A6A6A6"/>
        <w:sz w:val="24"/>
        <w:szCs w:val="20"/>
        <w:lang w:eastAsia="x-none"/>
      </w:rPr>
      <w:t>Prevent Policy</w:t>
    </w:r>
  </w:p>
  <w:p w:rsidR="00E04AC3" w:rsidRDefault="00E04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1C6"/>
    <w:multiLevelType w:val="hybridMultilevel"/>
    <w:tmpl w:val="59D6ECA2"/>
    <w:lvl w:ilvl="0" w:tplc="08090001">
      <w:start w:val="1"/>
      <w:numFmt w:val="bullet"/>
      <w:lvlText w:val=""/>
      <w:lvlJc w:val="left"/>
      <w:pPr>
        <w:ind w:left="1112" w:hanging="360"/>
      </w:pPr>
      <w:rPr>
        <w:rFonts w:ascii="Symbol" w:hAnsi="Symbol" w:hint="default"/>
        <w:w w:val="100"/>
        <w:lang w:val="en-US" w:eastAsia="en-US" w:bidi="ar-SA"/>
      </w:rPr>
    </w:lvl>
    <w:lvl w:ilvl="1" w:tplc="52AAA7E4">
      <w:numFmt w:val="bullet"/>
      <w:lvlText w:val="•"/>
      <w:lvlJc w:val="left"/>
      <w:pPr>
        <w:ind w:left="1260" w:hanging="360"/>
      </w:pPr>
      <w:rPr>
        <w:rFonts w:hint="default"/>
        <w:lang w:val="en-US" w:eastAsia="en-US" w:bidi="ar-SA"/>
      </w:rPr>
    </w:lvl>
    <w:lvl w:ilvl="2" w:tplc="717C092A">
      <w:numFmt w:val="bullet"/>
      <w:lvlText w:val="•"/>
      <w:lvlJc w:val="left"/>
      <w:pPr>
        <w:ind w:left="2291" w:hanging="360"/>
      </w:pPr>
      <w:rPr>
        <w:rFonts w:hint="default"/>
        <w:lang w:val="en-US" w:eastAsia="en-US" w:bidi="ar-SA"/>
      </w:rPr>
    </w:lvl>
    <w:lvl w:ilvl="3" w:tplc="DD24709E">
      <w:numFmt w:val="bullet"/>
      <w:lvlText w:val="•"/>
      <w:lvlJc w:val="left"/>
      <w:pPr>
        <w:ind w:left="3323" w:hanging="360"/>
      </w:pPr>
      <w:rPr>
        <w:rFonts w:hint="default"/>
        <w:lang w:val="en-US" w:eastAsia="en-US" w:bidi="ar-SA"/>
      </w:rPr>
    </w:lvl>
    <w:lvl w:ilvl="4" w:tplc="EFA65694">
      <w:numFmt w:val="bullet"/>
      <w:lvlText w:val="•"/>
      <w:lvlJc w:val="left"/>
      <w:pPr>
        <w:ind w:left="4355" w:hanging="360"/>
      </w:pPr>
      <w:rPr>
        <w:rFonts w:hint="default"/>
        <w:lang w:val="en-US" w:eastAsia="en-US" w:bidi="ar-SA"/>
      </w:rPr>
    </w:lvl>
    <w:lvl w:ilvl="5" w:tplc="CB74DD0E">
      <w:numFmt w:val="bullet"/>
      <w:lvlText w:val="•"/>
      <w:lvlJc w:val="left"/>
      <w:pPr>
        <w:ind w:left="5387" w:hanging="360"/>
      </w:pPr>
      <w:rPr>
        <w:rFonts w:hint="default"/>
        <w:lang w:val="en-US" w:eastAsia="en-US" w:bidi="ar-SA"/>
      </w:rPr>
    </w:lvl>
    <w:lvl w:ilvl="6" w:tplc="EED62C60">
      <w:numFmt w:val="bullet"/>
      <w:lvlText w:val="•"/>
      <w:lvlJc w:val="left"/>
      <w:pPr>
        <w:ind w:left="6419" w:hanging="360"/>
      </w:pPr>
      <w:rPr>
        <w:rFonts w:hint="default"/>
        <w:lang w:val="en-US" w:eastAsia="en-US" w:bidi="ar-SA"/>
      </w:rPr>
    </w:lvl>
    <w:lvl w:ilvl="7" w:tplc="D7264F12">
      <w:numFmt w:val="bullet"/>
      <w:lvlText w:val="•"/>
      <w:lvlJc w:val="left"/>
      <w:pPr>
        <w:ind w:left="7450" w:hanging="360"/>
      </w:pPr>
      <w:rPr>
        <w:rFonts w:hint="default"/>
        <w:lang w:val="en-US" w:eastAsia="en-US" w:bidi="ar-SA"/>
      </w:rPr>
    </w:lvl>
    <w:lvl w:ilvl="8" w:tplc="BFA00276">
      <w:numFmt w:val="bullet"/>
      <w:lvlText w:val="•"/>
      <w:lvlJc w:val="left"/>
      <w:pPr>
        <w:ind w:left="8482" w:hanging="360"/>
      </w:pPr>
      <w:rPr>
        <w:rFonts w:hint="default"/>
        <w:lang w:val="en-US" w:eastAsia="en-US" w:bidi="ar-SA"/>
      </w:rPr>
    </w:lvl>
  </w:abstractNum>
  <w:abstractNum w:abstractNumId="1" w15:restartNumberingAfterBreak="0">
    <w:nsid w:val="1D057D24"/>
    <w:multiLevelType w:val="hybridMultilevel"/>
    <w:tmpl w:val="222C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9119C"/>
    <w:multiLevelType w:val="hybridMultilevel"/>
    <w:tmpl w:val="69B2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C36B2"/>
    <w:multiLevelType w:val="hybridMultilevel"/>
    <w:tmpl w:val="FD0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A7F7B"/>
    <w:multiLevelType w:val="hybridMultilevel"/>
    <w:tmpl w:val="A9C2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B6983"/>
    <w:multiLevelType w:val="hybridMultilevel"/>
    <w:tmpl w:val="3766C262"/>
    <w:lvl w:ilvl="0" w:tplc="CAB061DC">
      <w:numFmt w:val="bullet"/>
      <w:lvlText w:val=""/>
      <w:lvlJc w:val="left"/>
      <w:pPr>
        <w:ind w:left="752" w:hanging="360"/>
      </w:pPr>
      <w:rPr>
        <w:rFonts w:ascii="Symbol" w:eastAsia="Symbol" w:hAnsi="Symbol" w:cs="Symbol" w:hint="default"/>
        <w:w w:val="100"/>
        <w:sz w:val="24"/>
        <w:szCs w:val="24"/>
        <w:lang w:val="en-US" w:eastAsia="en-US" w:bidi="ar-SA"/>
      </w:rPr>
    </w:lvl>
    <w:lvl w:ilvl="1" w:tplc="BDAE371E">
      <w:numFmt w:val="bullet"/>
      <w:lvlText w:val=""/>
      <w:lvlJc w:val="left"/>
      <w:pPr>
        <w:ind w:left="392" w:hanging="360"/>
      </w:pPr>
      <w:rPr>
        <w:rFonts w:hint="default"/>
        <w:w w:val="100"/>
        <w:lang w:val="en-US" w:eastAsia="en-US" w:bidi="ar-SA"/>
      </w:rPr>
    </w:lvl>
    <w:lvl w:ilvl="2" w:tplc="CF6AC3B2">
      <w:numFmt w:val="bullet"/>
      <w:lvlText w:val=""/>
      <w:lvlJc w:val="left"/>
      <w:pPr>
        <w:ind w:left="1472" w:hanging="360"/>
      </w:pPr>
      <w:rPr>
        <w:rFonts w:ascii="Symbol" w:eastAsia="Symbol" w:hAnsi="Symbol" w:cs="Symbol" w:hint="default"/>
        <w:w w:val="100"/>
        <w:sz w:val="24"/>
        <w:szCs w:val="24"/>
        <w:lang w:val="en-US" w:eastAsia="en-US" w:bidi="ar-SA"/>
      </w:rPr>
    </w:lvl>
    <w:lvl w:ilvl="3" w:tplc="F7D8AB0A">
      <w:numFmt w:val="bullet"/>
      <w:lvlText w:val="•"/>
      <w:lvlJc w:val="left"/>
      <w:pPr>
        <w:ind w:left="2613" w:hanging="360"/>
      </w:pPr>
      <w:rPr>
        <w:rFonts w:hint="default"/>
        <w:lang w:val="en-US" w:eastAsia="en-US" w:bidi="ar-SA"/>
      </w:rPr>
    </w:lvl>
    <w:lvl w:ilvl="4" w:tplc="083E8F14">
      <w:numFmt w:val="bullet"/>
      <w:lvlText w:val="•"/>
      <w:lvlJc w:val="left"/>
      <w:pPr>
        <w:ind w:left="3746" w:hanging="360"/>
      </w:pPr>
      <w:rPr>
        <w:rFonts w:hint="default"/>
        <w:lang w:val="en-US" w:eastAsia="en-US" w:bidi="ar-SA"/>
      </w:rPr>
    </w:lvl>
    <w:lvl w:ilvl="5" w:tplc="62B8B580">
      <w:numFmt w:val="bullet"/>
      <w:lvlText w:val="•"/>
      <w:lvlJc w:val="left"/>
      <w:pPr>
        <w:ind w:left="4879" w:hanging="360"/>
      </w:pPr>
      <w:rPr>
        <w:rFonts w:hint="default"/>
        <w:lang w:val="en-US" w:eastAsia="en-US" w:bidi="ar-SA"/>
      </w:rPr>
    </w:lvl>
    <w:lvl w:ilvl="6" w:tplc="9C40D76A">
      <w:numFmt w:val="bullet"/>
      <w:lvlText w:val="•"/>
      <w:lvlJc w:val="left"/>
      <w:pPr>
        <w:ind w:left="6013" w:hanging="360"/>
      </w:pPr>
      <w:rPr>
        <w:rFonts w:hint="default"/>
        <w:lang w:val="en-US" w:eastAsia="en-US" w:bidi="ar-SA"/>
      </w:rPr>
    </w:lvl>
    <w:lvl w:ilvl="7" w:tplc="BE264530">
      <w:numFmt w:val="bullet"/>
      <w:lvlText w:val="•"/>
      <w:lvlJc w:val="left"/>
      <w:pPr>
        <w:ind w:left="7146" w:hanging="360"/>
      </w:pPr>
      <w:rPr>
        <w:rFonts w:hint="default"/>
        <w:lang w:val="en-US" w:eastAsia="en-US" w:bidi="ar-SA"/>
      </w:rPr>
    </w:lvl>
    <w:lvl w:ilvl="8" w:tplc="91726A46">
      <w:numFmt w:val="bullet"/>
      <w:lvlText w:val="•"/>
      <w:lvlJc w:val="left"/>
      <w:pPr>
        <w:ind w:left="8279" w:hanging="360"/>
      </w:pPr>
      <w:rPr>
        <w:rFonts w:hint="default"/>
        <w:lang w:val="en-US" w:eastAsia="en-US" w:bidi="ar-SA"/>
      </w:rPr>
    </w:lvl>
  </w:abstractNum>
  <w:abstractNum w:abstractNumId="6" w15:restartNumberingAfterBreak="0">
    <w:nsid w:val="72B96699"/>
    <w:multiLevelType w:val="hybridMultilevel"/>
    <w:tmpl w:val="8E6E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C6"/>
    <w:rsid w:val="00025679"/>
    <w:rsid w:val="000F3E51"/>
    <w:rsid w:val="00102003"/>
    <w:rsid w:val="001F667D"/>
    <w:rsid w:val="002F1CA0"/>
    <w:rsid w:val="0044699E"/>
    <w:rsid w:val="00477B02"/>
    <w:rsid w:val="004B6544"/>
    <w:rsid w:val="00580AAC"/>
    <w:rsid w:val="00612E77"/>
    <w:rsid w:val="00635821"/>
    <w:rsid w:val="00677A42"/>
    <w:rsid w:val="006C50AE"/>
    <w:rsid w:val="006F7A1F"/>
    <w:rsid w:val="00751EB7"/>
    <w:rsid w:val="007A00C6"/>
    <w:rsid w:val="007E7C59"/>
    <w:rsid w:val="00801E50"/>
    <w:rsid w:val="00841CC9"/>
    <w:rsid w:val="008F2678"/>
    <w:rsid w:val="00934E56"/>
    <w:rsid w:val="0099272C"/>
    <w:rsid w:val="009A5021"/>
    <w:rsid w:val="00A25470"/>
    <w:rsid w:val="00A46F01"/>
    <w:rsid w:val="00AB7415"/>
    <w:rsid w:val="00B046AB"/>
    <w:rsid w:val="00B83AAC"/>
    <w:rsid w:val="00BB3986"/>
    <w:rsid w:val="00BC213E"/>
    <w:rsid w:val="00BC2739"/>
    <w:rsid w:val="00BF39E6"/>
    <w:rsid w:val="00CB2B9E"/>
    <w:rsid w:val="00DC2B8A"/>
    <w:rsid w:val="00E04AC3"/>
    <w:rsid w:val="00E7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60E116"/>
  <w15:docId w15:val="{1A9A61ED-EAB8-4FF2-B190-7F5706F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8F2678"/>
    <w:pPr>
      <w:widowControl w:val="0"/>
      <w:autoSpaceDE w:val="0"/>
      <w:autoSpaceDN w:val="0"/>
      <w:spacing w:after="0" w:line="240" w:lineRule="auto"/>
      <w:ind w:left="392"/>
      <w:outlineLvl w:val="2"/>
    </w:pPr>
    <w:rPr>
      <w:rFonts w:ascii="Arial" w:eastAsia="Arial" w:hAnsi="Arial" w:cs="Arial"/>
      <w:b/>
      <w:bCs/>
      <w:sz w:val="28"/>
      <w:szCs w:val="28"/>
      <w:lang w:val="en-US"/>
    </w:rPr>
  </w:style>
  <w:style w:type="paragraph" w:styleId="Heading4">
    <w:name w:val="heading 4"/>
    <w:basedOn w:val="Normal"/>
    <w:link w:val="Heading4Char"/>
    <w:uiPriority w:val="9"/>
    <w:unhideWhenUsed/>
    <w:qFormat/>
    <w:rsid w:val="008F2678"/>
    <w:pPr>
      <w:widowControl w:val="0"/>
      <w:autoSpaceDE w:val="0"/>
      <w:autoSpaceDN w:val="0"/>
      <w:spacing w:after="0" w:line="240" w:lineRule="auto"/>
      <w:ind w:left="392"/>
      <w:outlineLvl w:val="3"/>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75060"/>
    <w:pPr>
      <w:ind w:left="720"/>
      <w:contextualSpacing/>
    </w:pPr>
  </w:style>
  <w:style w:type="table" w:styleId="TableGrid">
    <w:name w:val="Table Grid"/>
    <w:basedOn w:val="TableNormal"/>
    <w:uiPriority w:val="39"/>
    <w:rsid w:val="00E0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AC3"/>
  </w:style>
  <w:style w:type="paragraph" w:styleId="Footer">
    <w:name w:val="footer"/>
    <w:basedOn w:val="Normal"/>
    <w:link w:val="FooterChar"/>
    <w:uiPriority w:val="99"/>
    <w:unhideWhenUsed/>
    <w:rsid w:val="00E0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AC3"/>
  </w:style>
  <w:style w:type="paragraph" w:customStyle="1" w:styleId="Default">
    <w:name w:val="Default"/>
    <w:rsid w:val="001F667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02003"/>
    <w:rPr>
      <w:sz w:val="16"/>
      <w:szCs w:val="16"/>
    </w:rPr>
  </w:style>
  <w:style w:type="paragraph" w:styleId="CommentText">
    <w:name w:val="annotation text"/>
    <w:basedOn w:val="Normal"/>
    <w:link w:val="CommentTextChar"/>
    <w:uiPriority w:val="99"/>
    <w:semiHidden/>
    <w:unhideWhenUsed/>
    <w:rsid w:val="00102003"/>
    <w:pPr>
      <w:spacing w:line="240" w:lineRule="auto"/>
    </w:pPr>
    <w:rPr>
      <w:sz w:val="20"/>
      <w:szCs w:val="20"/>
    </w:rPr>
  </w:style>
  <w:style w:type="character" w:customStyle="1" w:styleId="CommentTextChar">
    <w:name w:val="Comment Text Char"/>
    <w:basedOn w:val="DefaultParagraphFont"/>
    <w:link w:val="CommentText"/>
    <w:uiPriority w:val="99"/>
    <w:semiHidden/>
    <w:rsid w:val="00102003"/>
    <w:rPr>
      <w:sz w:val="20"/>
      <w:szCs w:val="20"/>
    </w:rPr>
  </w:style>
  <w:style w:type="paragraph" w:styleId="CommentSubject">
    <w:name w:val="annotation subject"/>
    <w:basedOn w:val="CommentText"/>
    <w:next w:val="CommentText"/>
    <w:link w:val="CommentSubjectChar"/>
    <w:uiPriority w:val="99"/>
    <w:semiHidden/>
    <w:unhideWhenUsed/>
    <w:rsid w:val="00102003"/>
    <w:rPr>
      <w:b/>
      <w:bCs/>
    </w:rPr>
  </w:style>
  <w:style w:type="character" w:customStyle="1" w:styleId="CommentSubjectChar">
    <w:name w:val="Comment Subject Char"/>
    <w:basedOn w:val="CommentTextChar"/>
    <w:link w:val="CommentSubject"/>
    <w:uiPriority w:val="99"/>
    <w:semiHidden/>
    <w:rsid w:val="00102003"/>
    <w:rPr>
      <w:b/>
      <w:bCs/>
      <w:sz w:val="20"/>
      <w:szCs w:val="20"/>
    </w:rPr>
  </w:style>
  <w:style w:type="paragraph" w:styleId="BalloonText">
    <w:name w:val="Balloon Text"/>
    <w:basedOn w:val="Normal"/>
    <w:link w:val="BalloonTextChar"/>
    <w:uiPriority w:val="99"/>
    <w:semiHidden/>
    <w:unhideWhenUsed/>
    <w:rsid w:val="00102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03"/>
    <w:rPr>
      <w:rFonts w:ascii="Segoe UI" w:hAnsi="Segoe UI" w:cs="Segoe UI"/>
      <w:sz w:val="18"/>
      <w:szCs w:val="18"/>
    </w:rPr>
  </w:style>
  <w:style w:type="character" w:styleId="Hyperlink">
    <w:name w:val="Hyperlink"/>
    <w:basedOn w:val="DefaultParagraphFont"/>
    <w:uiPriority w:val="99"/>
    <w:unhideWhenUsed/>
    <w:rsid w:val="00612E77"/>
    <w:rPr>
      <w:color w:val="0563C1" w:themeColor="hyperlink"/>
      <w:u w:val="single"/>
    </w:rPr>
  </w:style>
  <w:style w:type="character" w:customStyle="1" w:styleId="Heading3Char">
    <w:name w:val="Heading 3 Char"/>
    <w:basedOn w:val="DefaultParagraphFont"/>
    <w:link w:val="Heading3"/>
    <w:uiPriority w:val="9"/>
    <w:rsid w:val="008F2678"/>
    <w:rPr>
      <w:rFonts w:ascii="Arial" w:eastAsia="Arial" w:hAnsi="Arial" w:cs="Arial"/>
      <w:b/>
      <w:bCs/>
      <w:sz w:val="28"/>
      <w:szCs w:val="28"/>
      <w:lang w:val="en-US"/>
    </w:rPr>
  </w:style>
  <w:style w:type="character" w:customStyle="1" w:styleId="Heading4Char">
    <w:name w:val="Heading 4 Char"/>
    <w:basedOn w:val="DefaultParagraphFont"/>
    <w:link w:val="Heading4"/>
    <w:uiPriority w:val="9"/>
    <w:rsid w:val="008F2678"/>
    <w:rPr>
      <w:rFonts w:ascii="Arial" w:eastAsia="Arial" w:hAnsi="Arial" w:cs="Arial"/>
      <w:b/>
      <w:bCs/>
      <w:sz w:val="24"/>
      <w:szCs w:val="24"/>
      <w:lang w:val="en-US"/>
    </w:rPr>
  </w:style>
  <w:style w:type="paragraph" w:styleId="BodyText">
    <w:name w:val="Body Text"/>
    <w:basedOn w:val="Normal"/>
    <w:link w:val="BodyTextChar"/>
    <w:uiPriority w:val="1"/>
    <w:qFormat/>
    <w:rsid w:val="008F2678"/>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F2678"/>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e-cypfirstresponse@buckscc.gcsx.gov.uk" TargetMode="External"/><Relationship Id="rId13" Type="http://schemas.openxmlformats.org/officeDocument/2006/relationships/hyperlink" Target="https://www.elearning.prevent.homeoffice.gov.uk/channel_awareness/01-welcome.html" TargetMode="External"/><Relationship Id="rId18" Type="http://schemas.openxmlformats.org/officeDocument/2006/relationships/hyperlink" Target="http://preventforfeandtraining.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learning.prevent.homeoffice.gov.uk/preventreferrals" TargetMode="External"/><Relationship Id="rId17" Type="http://schemas.openxmlformats.org/officeDocument/2006/relationships/hyperlink" Target="http://educateagainsthate.com/" TargetMode="External"/><Relationship Id="rId2" Type="http://schemas.openxmlformats.org/officeDocument/2006/relationships/numbering" Target="numbering.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ing.prevent.homeoffice.gov.uk/" TargetMode="External"/><Relationship Id="rId5" Type="http://schemas.openxmlformats.org/officeDocument/2006/relationships/webSettings" Target="webSettings.xml"/><Relationship Id="rId15" Type="http://schemas.openxmlformats.org/officeDocument/2006/relationships/hyperlink" Target="http://educateagainsthate.com/" TargetMode="External"/><Relationship Id="rId10" Type="http://schemas.openxmlformats.org/officeDocument/2006/relationships/hyperlink" Target="https://www.gov.uk/government/publications/prevent-duty-guid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hannel-guidance" TargetMode="External"/><Relationship Id="rId14" Type="http://schemas.openxmlformats.org/officeDocument/2006/relationships/hyperlink" Target="https://educateagainsthat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AE6A-E41E-4BA8-883A-6AB2B657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Huxley Capurro</dc:creator>
  <cp:lastModifiedBy>Michael Rickner</cp:lastModifiedBy>
  <cp:revision>8</cp:revision>
  <cp:lastPrinted>2019-08-08T14:21:00Z</cp:lastPrinted>
  <dcterms:created xsi:type="dcterms:W3CDTF">2019-09-13T15:20:00Z</dcterms:created>
  <dcterms:modified xsi:type="dcterms:W3CDTF">2021-06-19T19:03:00Z</dcterms:modified>
</cp:coreProperties>
</file>